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3F69E9">
        <w:rPr>
          <w:rFonts w:ascii="GHEA Grapalat" w:hAnsi="GHEA Grapalat"/>
          <w:b/>
          <w:sz w:val="24"/>
          <w:szCs w:val="24"/>
          <w:lang w:val="en-US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CC3D87">
        <w:rPr>
          <w:rFonts w:ascii="GHEA Grapalat" w:hAnsi="GHEA Grapalat" w:cs="Sylfaen"/>
          <w:szCs w:val="24"/>
          <w:lang w:val="hy-AM"/>
        </w:rPr>
        <w:t xml:space="preserve">26.06.2024 թվականի </w:t>
      </w:r>
      <w:bookmarkStart w:id="0" w:name="_GoBack"/>
      <w:bookmarkEnd w:id="0"/>
      <w:r w:rsidR="00CC3D87">
        <w:rPr>
          <w:rFonts w:ascii="GHEA Grapalat" w:hAnsi="GHEA Grapalat" w:cs="Sylfaen"/>
          <w:szCs w:val="24"/>
          <w:lang w:val="hy-AM"/>
        </w:rPr>
        <w:t>№103-Ա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</w:t>
      </w:r>
      <w:r w:rsidR="003F69E9">
        <w:rPr>
          <w:rFonts w:ascii="GHEA Grapalat" w:hAnsi="GHEA Grapalat"/>
          <w:sz w:val="24"/>
          <w:szCs w:val="24"/>
          <w:lang w:val="en-US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3F69E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3F69E9" w:rsidRPr="003F69E9">
        <w:rPr>
          <w:rFonts w:ascii="GHEA Grapalat" w:hAnsi="GHEA Grapalat"/>
          <w:b/>
          <w:sz w:val="36"/>
          <w:szCs w:val="24"/>
          <w:lang w:val="hy-AM"/>
        </w:rPr>
        <w:t>ԶՈԼԱՔԱՐ</w:t>
      </w:r>
      <w:r w:rsidR="00FC1ED7" w:rsidRPr="00FC1ED7">
        <w:rPr>
          <w:rFonts w:ascii="GHEA Grapalat" w:hAnsi="GHEA Grapalat"/>
          <w:b/>
          <w:sz w:val="36"/>
          <w:szCs w:val="24"/>
          <w:lang w:val="hy-AM"/>
        </w:rPr>
        <w:t>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EE5453">
        <w:rPr>
          <w:rFonts w:ascii="GHEA Grapalat" w:hAnsi="GHEA Grapalat" w:cs="Sylfaen"/>
          <w:sz w:val="24"/>
          <w:szCs w:val="24"/>
          <w:lang w:val="hy-AM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7D48E3">
        <w:rPr>
          <w:rFonts w:ascii="GHEA Grapalat" w:hAnsi="GHEA Grapalat"/>
          <w:sz w:val="24"/>
          <w:szCs w:val="24"/>
          <w:lang w:val="hy-AM"/>
        </w:rPr>
        <w:t>Զ</w:t>
      </w:r>
      <w:r w:rsidR="007D48E3" w:rsidRPr="005D6E5E">
        <w:rPr>
          <w:rFonts w:ascii="GHEA Grapalat" w:hAnsi="GHEA Grapalat"/>
          <w:sz w:val="24"/>
          <w:szCs w:val="24"/>
          <w:lang w:val="hy-AM"/>
        </w:rPr>
        <w:t>ոլաքարի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D6E5E" w:rsidRPr="005D6E5E">
        <w:rPr>
          <w:rFonts w:ascii="GHEA Grapalat" w:hAnsi="GHEA Grapalat"/>
          <w:sz w:val="24"/>
          <w:szCs w:val="24"/>
          <w:lang w:val="hy-AM"/>
        </w:rPr>
        <w:t>Զոլաքար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D6E5E" w:rsidRPr="005D6E5E">
        <w:rPr>
          <w:rFonts w:ascii="GHEA Grapalat" w:hAnsi="GHEA Grapalat"/>
          <w:sz w:val="24"/>
          <w:szCs w:val="24"/>
          <w:lang w:val="hy-AM"/>
        </w:rPr>
        <w:t>Զոլաքարի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800" w:rsidRPr="00C70800">
        <w:rPr>
          <w:rFonts w:ascii="GHEA Grapalat" w:hAnsi="GHEA Grapalat"/>
          <w:sz w:val="24"/>
          <w:szCs w:val="24"/>
          <w:lang w:val="hy-AM"/>
        </w:rPr>
        <w:t>Զոլաքար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0800" w:rsidRPr="00B60C5A">
        <w:rPr>
          <w:rFonts w:ascii="GHEA Grapalat" w:hAnsi="GHEA Grapalat"/>
          <w:sz w:val="24"/>
          <w:szCs w:val="24"/>
          <w:lang w:val="hy-AM"/>
        </w:rPr>
        <w:t xml:space="preserve">2-րդ փողոց </w:t>
      </w:r>
      <w:r w:rsidR="00C70800">
        <w:rPr>
          <w:rFonts w:ascii="GHEA Grapalat" w:hAnsi="GHEA Grapalat"/>
          <w:sz w:val="24"/>
          <w:szCs w:val="24"/>
          <w:lang w:val="hy-AM"/>
        </w:rPr>
        <w:t>6-րդ շենք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57" w:rsidRDefault="00613F57" w:rsidP="00311CB9">
      <w:pPr>
        <w:spacing w:after="0" w:line="240" w:lineRule="auto"/>
      </w:pPr>
      <w:r>
        <w:separator/>
      </w:r>
    </w:p>
  </w:endnote>
  <w:endnote w:type="continuationSeparator" w:id="0">
    <w:p w:rsidR="00613F57" w:rsidRDefault="00613F57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87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57" w:rsidRDefault="00613F57" w:rsidP="00311CB9">
      <w:pPr>
        <w:spacing w:after="0" w:line="240" w:lineRule="auto"/>
      </w:pPr>
      <w:r>
        <w:separator/>
      </w:r>
    </w:p>
  </w:footnote>
  <w:footnote w:type="continuationSeparator" w:id="0">
    <w:p w:rsidR="00613F57" w:rsidRDefault="00613F57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564DB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6CFF"/>
    <w:rsid w:val="002C4A04"/>
    <w:rsid w:val="003074B2"/>
    <w:rsid w:val="00311CB9"/>
    <w:rsid w:val="00347D4B"/>
    <w:rsid w:val="00357BBD"/>
    <w:rsid w:val="00380A86"/>
    <w:rsid w:val="00394829"/>
    <w:rsid w:val="003F69E9"/>
    <w:rsid w:val="00420E2A"/>
    <w:rsid w:val="00433C8D"/>
    <w:rsid w:val="004407C9"/>
    <w:rsid w:val="00453C3A"/>
    <w:rsid w:val="0049016A"/>
    <w:rsid w:val="004D33C1"/>
    <w:rsid w:val="005010A9"/>
    <w:rsid w:val="005056C5"/>
    <w:rsid w:val="005155CC"/>
    <w:rsid w:val="00520904"/>
    <w:rsid w:val="00534D02"/>
    <w:rsid w:val="005404C8"/>
    <w:rsid w:val="005A18EA"/>
    <w:rsid w:val="005A1D3B"/>
    <w:rsid w:val="005C522A"/>
    <w:rsid w:val="005D6E5E"/>
    <w:rsid w:val="005E418E"/>
    <w:rsid w:val="005F27D6"/>
    <w:rsid w:val="00613F57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8E3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0147B"/>
    <w:rsid w:val="00926E8F"/>
    <w:rsid w:val="00932A66"/>
    <w:rsid w:val="009373D3"/>
    <w:rsid w:val="009667EB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0800"/>
    <w:rsid w:val="00C77B66"/>
    <w:rsid w:val="00C77F22"/>
    <w:rsid w:val="00CA4C9D"/>
    <w:rsid w:val="00CC3D87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E5453"/>
    <w:rsid w:val="00EF2D17"/>
    <w:rsid w:val="00F04AB1"/>
    <w:rsid w:val="00F21B15"/>
    <w:rsid w:val="00F21BF2"/>
    <w:rsid w:val="00F22FDE"/>
    <w:rsid w:val="00F2758D"/>
    <w:rsid w:val="00F73839"/>
    <w:rsid w:val="00F75101"/>
    <w:rsid w:val="00FA4EF7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109</cp:revision>
  <dcterms:created xsi:type="dcterms:W3CDTF">2022-07-01T13:22:00Z</dcterms:created>
  <dcterms:modified xsi:type="dcterms:W3CDTF">2024-06-27T07:06:00Z</dcterms:modified>
</cp:coreProperties>
</file>