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A1" w:rsidRPr="0069731F" w:rsidRDefault="003D50A1" w:rsidP="003D50A1">
      <w:pPr>
        <w:jc w:val="center"/>
        <w:rPr>
          <w:rFonts w:ascii="GHEA Grapalat" w:hAnsi="GHEA Grapalat" w:cs="Sylfaen"/>
          <w:b/>
          <w:iCs/>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cs="Sylfaen"/>
          <w:b/>
          <w:iCs/>
          <w:color w:val="000000" w:themeColor="text1"/>
          <w:lang w:val="hy-AM"/>
        </w:rPr>
        <w:t>«</w:t>
      </w:r>
      <w:r w:rsidR="00912F49" w:rsidRPr="00912F49">
        <w:rPr>
          <w:rFonts w:ascii="GHEA Grapalat" w:hAnsi="GHEA Grapalat" w:cs="Sylfaen"/>
          <w:b/>
          <w:iCs/>
          <w:color w:val="000000" w:themeColor="text1"/>
          <w:lang w:val="hy-AM"/>
        </w:rPr>
        <w:t>ՀԱՅԱՍՏԱՆԻ ՀԱՆՐԱՊԵՏՈՒԹՅԱՆ ԳԵՂԱՐՔՈՒՆԻՔԻ ՄԱՐԶԻ ՄԱՐՏՈՒՆԻ ՀԱՄԱՅՆՔԻ ՍԵՓԱԿԱՆՈՒԹՅՈՒՆ ՀԱՆԴԻՍԱՑՈՂ ՀՈՂԵՐԻ ԿԱՌԱՎԱՐՄԱՆ 2023 ԹՎԱԿԱՆԻ (ԱՄԵՆԱՄՅԱ) ԾՐԱԳԻՐԸ ՀԱՍՏԱՏԵԼՈՒ ՄԱՍԻՆ</w:t>
      </w:r>
      <w:r w:rsidRPr="0069731F">
        <w:rPr>
          <w:rFonts w:ascii="GHEA Grapalat" w:hAnsi="GHEA Grapalat" w:cs="Sylfaen"/>
          <w:b/>
          <w:iCs/>
          <w:color w:val="000000" w:themeColor="text1"/>
          <w:lang w:val="hy-AM"/>
        </w:rPr>
        <w:t xml:space="preserve">»  ՄԱՐՏՈՒՆԻ ՀԱՄԱՅՆՔԻ ԱՎԱԳԱՆՈՒ ՈՐՈՇՄԱՆ ՆԱԽԱԳԾԻ ԸՆԴՈՒՆՄԱՆ </w:t>
      </w:r>
    </w:p>
    <w:p w:rsidR="00912F49" w:rsidRPr="00912F49" w:rsidRDefault="003D50A1" w:rsidP="00912F49">
      <w:pPr>
        <w:pStyle w:val="Default"/>
        <w:jc w:val="both"/>
        <w:rPr>
          <w:rFonts w:ascii="GHEA Grapalat" w:hAnsi="GHEA Grapalat"/>
          <w:sz w:val="23"/>
          <w:szCs w:val="23"/>
          <w:lang w:val="hy-AM"/>
        </w:rPr>
      </w:pPr>
      <w:r w:rsidRPr="0069731F">
        <w:rPr>
          <w:rFonts w:ascii="GHEA Grapalat" w:hAnsi="GHEA Grapalat"/>
          <w:color w:val="000000" w:themeColor="text1"/>
          <w:lang w:val="hy-AM"/>
        </w:rPr>
        <w:br/>
        <w:t xml:space="preserve">      </w:t>
      </w:r>
      <w:r w:rsidR="00912F49" w:rsidRPr="00912F49">
        <w:rPr>
          <w:rFonts w:ascii="GHEA Grapalat" w:hAnsi="GHEA Grapalat"/>
          <w:sz w:val="23"/>
          <w:szCs w:val="23"/>
          <w:lang w:val="hy-AM"/>
        </w:rPr>
        <w:t xml:space="preserve">«Տեղական ինքնակառավարման մասին» օրենքի 43-րդ հոդվածով սահմանվում են համայնքի ղեկավարի լիազորությունները հողօգտագործման բնագավառում, նշված հոդվածի 1-ին մասի 2-րդ կետով սահմանվում է, որ համայնքի ղեկավարը՝ մշակում և կազմում է համայնքի սեփականություն հանդիսացող հողերի կառավարման ամենամյա և հնգամյա ծրագրերը, որոնք կազմում են համայնքի հնգամյա զարգացման ծրագրի բաղկացուցիչ մասը, և դրանք ներկայացնում համայնքի ավագանու հաստատմանը: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Սույն հիմնավորման հիմքում դրված է համայնքի սեփականություն հանդիսացող հողերի կառավարման ամենամյա ծրագրի նախագիծը (այսուհետ՝ Նախագիծ), որով կարգավորվելու են 2</w:t>
      </w:r>
      <w:r w:rsidRPr="007729F2">
        <w:rPr>
          <w:rFonts w:ascii="GHEA Grapalat" w:hAnsi="GHEA Grapalat"/>
          <w:sz w:val="23"/>
          <w:szCs w:val="23"/>
          <w:lang w:val="hy-AM"/>
        </w:rPr>
        <w:t xml:space="preserve">023 </w:t>
      </w:r>
      <w:r w:rsidRPr="00912F49">
        <w:rPr>
          <w:rFonts w:ascii="GHEA Grapalat" w:hAnsi="GHEA Grapalat"/>
          <w:sz w:val="23"/>
          <w:szCs w:val="23"/>
          <w:lang w:val="hy-AM"/>
        </w:rPr>
        <w:t xml:space="preserve">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համայնքի սոցիալ-տնտեսական զարգացման և բյուջետային քաղաքականության ուղղություններով սահմանված խնդիրները: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Նախագիծը նպատակաուղղված է համայնքի սեփականություն հանդիսացող հողերի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սոցիալ-տնտեսական զարգացման և համայնքի 2</w:t>
      </w:r>
      <w:r w:rsidRPr="007729F2">
        <w:rPr>
          <w:rFonts w:ascii="GHEA Grapalat" w:hAnsi="GHEA Grapalat"/>
          <w:sz w:val="23"/>
          <w:szCs w:val="23"/>
          <w:lang w:val="hy-AM"/>
        </w:rPr>
        <w:t>022</w:t>
      </w:r>
      <w:r w:rsidRPr="00912F49">
        <w:rPr>
          <w:rFonts w:ascii="GHEA Grapalat" w:hAnsi="GHEA Grapalat"/>
          <w:sz w:val="23"/>
          <w:szCs w:val="23"/>
          <w:lang w:val="hy-AM"/>
        </w:rPr>
        <w:t xml:space="preserve"> - 20</w:t>
      </w:r>
      <w:r w:rsidRPr="007729F2">
        <w:rPr>
          <w:rFonts w:ascii="GHEA Grapalat" w:hAnsi="GHEA Grapalat"/>
          <w:sz w:val="23"/>
          <w:szCs w:val="23"/>
          <w:lang w:val="hy-AM"/>
        </w:rPr>
        <w:t>26</w:t>
      </w:r>
      <w:r w:rsidRPr="00912F49">
        <w:rPr>
          <w:rFonts w:ascii="GHEA Grapalat" w:hAnsi="GHEA Grapalat"/>
          <w:sz w:val="23"/>
          <w:szCs w:val="23"/>
          <w:lang w:val="hy-AM"/>
        </w:rPr>
        <w:t xml:space="preserve">թթ. հնգամյա զարգացման ծրագրով սահմանված խնդիրների լուծմանը և հանդիսանում է համայնքի հնգամյա զարգացման ծրագրի բաղկացուցիչ մասը: Իրավակիրառական պրակտիկայում, ընթացիկ իրավիճակն այսպիսին է, համայնքում չկան մշակված և ընդունված համայնքի սեփականություն հանդիսացող հողերի կառավարման ինչպես ամենամյա, այնպես էլ հնգամյա ծրագրերը: Այս համատեքստում բաց է մնում հողերի կառավարման մասով համայնքի տեղական քաղաքականությունը, ինչն իր հերթին ստեղծում է բավականին լուրջ խնդիրներ, մասնավորապես՝ պլանավորման իմաստով: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Համայնքի սեփականությունը հանդիսացող, ինչպես նաև համայնքի տեղական ինքնակառավարման մարմինների կառավարմանը հանձնված, կամ որ նույնն է՝ պատվիրակված, պետական սեփականություն հանդիսացող հողերի կառավարումը համարվում է համայնքի կայուն զարգացման նախադրյալներից մեկը, որն ամրագրված է նաև համայնքի պարտադիր խնդիրները սահմանող «Տեղական ինքնակառավարման մասին» Հայաստանի Հանրապետության օրենքի 12-րդ հոդվածով: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Հարկ է արձանագրել, որ Հայաստանի Հանրապետության Սահմանադրության 184-րդ հոդվածը կարգորոշումներ է սահմանել համայնքի սեփականության և դրա օգտագործման և տնօրինման իրավահարաբերությունների մասով: Համաձայն մեջբերված սահմանադրական նորմի՝ համայնքի տարածքում գտնվող հողը՝ բացառությամբ պետությանը, ինչպես նաև ֆիզիկական ու իրավաբանական անձանց պատկանող հողերի, համարվում է համայնքի սեփականությունը: Ի լրումն նշված </w:t>
      </w:r>
      <w:r w:rsidRPr="00912F49">
        <w:rPr>
          <w:rFonts w:ascii="GHEA Grapalat" w:hAnsi="GHEA Grapalat"/>
          <w:sz w:val="23"/>
          <w:szCs w:val="23"/>
          <w:lang w:val="hy-AM"/>
        </w:rPr>
        <w:lastRenderedPageBreak/>
        <w:t xml:space="preserve">սահմանադրական կարգավորման, նույն հոդվածի 3-րդ մասով նախատեսված է, որ համայնքի սեփականությունը՝ օրենքով սահմանված կարգով տնօրինում է համայնքի ավագանին: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Ըստ էության, սահմանադիրը համայնքի սեփականությունը հանդիսացող հողերի տնօրինման, կամ որ նույնն է՝ կառավարման լիազորությունը վերապահել է համայնքի ներկայացուցչական մարմնին՝ ավագանուն: Օրենսդրական մակարդակում, թե՛ Հայաստանի Հանրապետության հողային օրենսգրքի և թե՛ «Տեղական ինքնակառավարման մասին» Հայաստանի Հանրապետության օրենքի կարգավորումների համատեքստում, համայնքի ղեկավարը մշակում և (կամ) նախագծում է համայնքի սեփականությունը հանդիսացող հողերի օգտագործման, տիրապետման և տնօրինման հետ կապված փաստաթղթերը, այդ թվում նաև՝ պլանավորում ենթադրող փաստաթղթերը, իսկ վերջնական հաստատումը դրանց մասով իրականացվում է համայնքի ավագանու կողմից: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Փաստորեն, սահմանադիրը հղում տալով օրենքին, պատվիրակում է համայնքի ավագանուն, կամ վերջինիս վերապահում է իրավունք և պարտականություն, համայնքի սեփականություն հանդիսացող հողերը տնօրինել օրենքով սահմանված կարգով: Համայնքի սեփականություն հանդիսացող հողերի տնօրինման հետ կապված օրենքը, մասնավորապես՝ «Տեղական ինքնակառավարման մասին» Հայաստանի Հանրապետության օրենքը սահմանել է հստակ կարգավորումներ, որոնցից հատկանշական է հողերի կառավարման ամենամյա ծրագրի մշակումը համայնքի ղեկավարին և ավագանուն վերապահելը: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Վերը մեջբերվածի համատեքստում, օրենսդիրը համայնքի սեփականությունը հանդիսացող կամ համայնքի կառավարմանը հանձնված հողերի տնօրինմանը վերաբերելի, որոշակի պլանավորում ենթադրող հիմնական փաստաթղթի մշակման և հաստատման լիազորությունը վերապահել է համայնքի տեղական ինքնակառավարման մարմիններին: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Հողերի կառավարման ամենամյա ծրագիրը համարվում է համայնքի մակարդակում հողերի կառավարման մասով տեղական քաղաքականության մշակման և իրագործման հիմնադրույթային փաստաթուղթը, որը նպատակուղղված է կանոնակարգելու համայնքի տեղական ինքնակառավարման մարմինների գործողությունները, միևնույն ժամանակ հնարավորություն ստեղծելու հողերի կառավարման գործընթացների մասով ապահովելու օրինականությունը, հաշվետվողականությունը և հնարավոր հանրային և վարչական վերահսկողության պատշաճ կազմակերպումն ու իրականացումը: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Սույն հիմնավորման առարկա հանդիսացող Նախագծի մշակման և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համայնքի սեփականությունը հանդիսացող հողերի կառավարման ոլորտի վերաբերյալ իրավական ակտերը: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Նախագծով նախանշվում են համայնքի սեփականությունը հանդիսացող և համայնքի տեղական ինքնակառավարման մարմինների կառավարմանը հանձնված </w:t>
      </w:r>
      <w:r w:rsidRPr="00912F49">
        <w:rPr>
          <w:rFonts w:ascii="GHEA Grapalat" w:hAnsi="GHEA Grapalat"/>
          <w:sz w:val="23"/>
          <w:szCs w:val="23"/>
          <w:lang w:val="hy-AM"/>
        </w:rPr>
        <w:lastRenderedPageBreak/>
        <w:t xml:space="preserve">հողերի կառավարման հարաբերությունների հիմնական կարգավորման առարկան, որն իրենից ենթադրում է՝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կառավարման հիմնախնդիրների լուծումը.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հաշվառման բնագավառում միասնական սկզբունքների սահմանումը և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ուսումնասիրությունների անցկացումը.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մշտադիտարկումը (մոնիթորինգ), օգտագործումը և պահպանումը, Հողերի շրջանառության նպատակային իրականացումը.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կառավարման բնագավառում համայնքային քաղաքականության մշակումն ու իրականացումը, ուղղությունների սահմանումը.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օտարման և օգտագործման ոլորտում համայնքային քաղաքականության մշակումը և իրականացումը.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գույքային իրավունքների կառավարման ոլորտում միասնական քաղաքականության մշակումը և իրականացումը: </w:t>
      </w:r>
    </w:p>
    <w:p w:rsidR="00912F49" w:rsidRPr="00912F49" w:rsidRDefault="00912F49" w:rsidP="00912F49">
      <w:pPr>
        <w:pStyle w:val="Default"/>
        <w:jc w:val="both"/>
        <w:rPr>
          <w:rFonts w:ascii="GHEA Grapalat" w:hAnsi="GHEA Grapalat"/>
          <w:sz w:val="23"/>
          <w:szCs w:val="23"/>
          <w:lang w:val="hy-AM"/>
        </w:rPr>
      </w:pP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Ինչպես և յուրաքանչյուր ծրագիր, այնպես էլ համայնքի սեփականությունը հանդիսացող հողերի կառավարման ամենամյա ծրագիրն ունի իր իրականացման հիմնադրույթները, ուղենիշները կամ որն նույնն է՝ սկզբունքները: Նախագծով հստակ սահմանվել են հողերի կառավարման ամենամյա ծրագրի իրականացման հիմքում դրված, հողերի կառավարման սկզբունքները, դրանք են.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1.Հողերի կառավարման յուրաքանչյուր հողակտորի ծրագրային կառավարման նպատակի սահմանում և ամրագրում.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2. Հողերի արդյունավետ կառավարման շարունակական ապահովում.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3.Հողերի կառավարման ոլորտում մասնակիցների շահերի ներդաշնակության ապահովում.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4. համայնք-մասնավոր համագործակցության պարզեցված պայմանների ներդրում.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5.Հողերի կառավարման թափանցիկության և հրապարակայնության ապահովում: </w:t>
      </w:r>
    </w:p>
    <w:p w:rsidR="00912F49" w:rsidRPr="00912F49" w:rsidRDefault="00912F49" w:rsidP="00912F49">
      <w:pPr>
        <w:pStyle w:val="Default"/>
        <w:jc w:val="both"/>
        <w:rPr>
          <w:rFonts w:ascii="GHEA Grapalat" w:hAnsi="GHEA Grapalat"/>
          <w:sz w:val="23"/>
          <w:szCs w:val="23"/>
          <w:lang w:val="hy-AM"/>
        </w:rPr>
      </w:pP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Մեջբերված սկզբունքները, իրավաիրացնող իմաստով ունեն շատ մեծ նշանակություն, քանի որ, Նախագծով փորձ է արվում սահմանել այն հիմնական ուղենիշները, որոնք որպես սկզբունք պետք է դրվեն համայնքի տեղական ինքնակառավարման մարմինների, դրանց և համայնքապետարանի աշխատակազմի պաշտոնատար անձանց գործողությունների հիմքում: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Որպես վարքագծի հիմնական կանոններ, Նախագծով սկզբունքների ամրագրումը ըստ էության երաշխավորում է հողերի կառավարման ամենամյա ծրագրի իրականացման ընթացքում տեղական ինքնակառավարման մարմինների և դրանց պաշտոնատար անձանց գործողությունների ինչպես իրավաչափությունը, այնպես էլ այդ գործողությունների իրականացման հիմքում արդյունավետության ցուցիչի կարևորումն ու դիտարկումը: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Նախագծով սահմանվել են համայնքի սեփականությունը հանդիսացող, ինչպես նաև համայնքի տեղական ինքնակառավարման մարմինների տնօրինմանը հանձնված պետական սեփականություն հանդիսացող հողերի կառավարման ընդհանուր գերակայությունները, դրանք են՝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հողերի օգտագործման արդյունավետության բարձրացման ապահովումը.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հողերի բերրիության, ֆիզիկական, որակական և նորմատիվային այլ հատկանիշների պահպանումը.</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lastRenderedPageBreak/>
        <w:t xml:space="preserve">▪ </w:t>
      </w:r>
      <w:r w:rsidRPr="00912F49">
        <w:rPr>
          <w:rFonts w:ascii="GHEA Grapalat" w:hAnsi="GHEA Grapalat"/>
          <w:sz w:val="23"/>
          <w:szCs w:val="23"/>
          <w:lang w:val="hy-AM"/>
        </w:rPr>
        <w:t xml:space="preserve">համայնքի կարիքների բավարարման համար անհրաժեշտ Հողերի գերակայությունը, ընդ որում, եթե միևնույն հողամասը կարող է ունենալ նաև շահույթ ստանալու հնարավորություն, այնուամենայնիվ, այն դասվում է համայնքի կարիքները բավարարող հողամասերի խմբին.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համայնքի կարիքները բավարարող հողամասերը հիմնականում ենթակա չեն օտարման.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գյուղատնտեսական հողերի բերրիության բարձրացումը և էկոլոգիական վիճակի բարելավումը։ </w:t>
      </w:r>
    </w:p>
    <w:p w:rsidR="00912F49" w:rsidRPr="00912F49" w:rsidRDefault="00912F49" w:rsidP="00912F49">
      <w:pPr>
        <w:pStyle w:val="Default"/>
        <w:jc w:val="both"/>
        <w:rPr>
          <w:rFonts w:ascii="GHEA Grapalat" w:hAnsi="GHEA Grapalat"/>
          <w:sz w:val="23"/>
          <w:szCs w:val="23"/>
          <w:lang w:val="hy-AM"/>
        </w:rPr>
      </w:pP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Հատկանշական են Նախագծով սահմանված ծրագրի իրականացման նպատակները, որոնք, որպես ուղենիշներ դրված են փաստաթղթի հիմքում, և որոնց հասնելուն է միտված համայնքի տեղական ինքնակառավարման մարմինների և համայնքապետարանի աշխատակազմի պաշտոնատար անձանց այն գործողությունները, որոնք ամրագրված են Նախագծում: </w:t>
      </w:r>
    </w:p>
    <w:p w:rsidR="00912F49" w:rsidRP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 xml:space="preserve">Նախագծով սահմանված հողերի կառավարման ամենամյա ծրագրի նպատակներ են սահմանվել հողերի կառավարման արդյունավետության շարունակական բարձրացումը, հողերի կառավարման միասնական համակարգի ձևավորումը, հանրային օգտակարության բարձրացումը,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 համայնքային գույքային շրջանառության բնագավառում միասնական քաղաքականության իրականացումը, հողերի ամբողջական հաշվառումը, հաշվառման տվյալների թափանցիկության և հրապարակայնության ապահովումը, համայնքային հողային հարաբերությունների կարգավորումը և շարունակական բարեփոխումը, համայնքի բնակչությանը Հողերի կառավարման գործընթացին մասնակից դարձնելը, հողերի արդյունավետ օգտագործման ճանապարհով համայնքային տնտեսությունում ներդրումների ներգրավման բարենպաստ պայմանների ապահովումը։ </w:t>
      </w:r>
    </w:p>
    <w:p w:rsidR="00912F49" w:rsidRPr="00912F49" w:rsidRDefault="00912F49" w:rsidP="00912F49">
      <w:pPr>
        <w:pStyle w:val="Default"/>
        <w:jc w:val="both"/>
        <w:rPr>
          <w:rFonts w:ascii="GHEA Grapalat" w:hAnsi="GHEA Grapalat"/>
          <w:sz w:val="23"/>
          <w:szCs w:val="23"/>
          <w:lang w:val="hy-AM"/>
        </w:rPr>
      </w:pPr>
      <w:r w:rsidRPr="00912F49">
        <w:rPr>
          <w:rFonts w:ascii="GHEA Grapalat" w:hAnsi="GHEA Grapalat"/>
          <w:sz w:val="23"/>
          <w:szCs w:val="23"/>
          <w:lang w:val="hy-AM"/>
        </w:rPr>
        <w:t xml:space="preserve">Նախագծով սահմանված հողերի կառավարման ամենամյա ծրագրով սահմանված են կամ ներկայացվում են. </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en-US"/>
        </w:rPr>
        <w:t>✓</w:t>
      </w:r>
      <w:r w:rsidRPr="00912F49">
        <w:rPr>
          <w:rFonts w:ascii="GHEA Grapalat" w:hAnsi="GHEA Grapalat" w:cs="Wingdings"/>
          <w:sz w:val="23"/>
          <w:szCs w:val="23"/>
          <w:lang w:val="en-US"/>
        </w:rPr>
        <w:t xml:space="preserve"> </w:t>
      </w:r>
      <w:r w:rsidRPr="007729F2">
        <w:rPr>
          <w:rFonts w:ascii="GHEA Grapalat" w:hAnsi="GHEA Grapalat"/>
          <w:sz w:val="23"/>
          <w:szCs w:val="23"/>
        </w:rPr>
        <w:t>Ընդհանուր</w:t>
      </w:r>
      <w:r w:rsidRPr="00912F49">
        <w:rPr>
          <w:rFonts w:ascii="GHEA Grapalat" w:hAnsi="GHEA Grapalat"/>
          <w:sz w:val="23"/>
          <w:szCs w:val="23"/>
          <w:lang w:val="en-US"/>
        </w:rPr>
        <w:t xml:space="preserve"> </w:t>
      </w:r>
      <w:r w:rsidRPr="007729F2">
        <w:rPr>
          <w:rFonts w:ascii="GHEA Grapalat" w:hAnsi="GHEA Grapalat"/>
          <w:sz w:val="23"/>
          <w:szCs w:val="23"/>
        </w:rPr>
        <w:t>դրույթները</w:t>
      </w:r>
      <w:r w:rsidRPr="00912F49">
        <w:rPr>
          <w:rFonts w:ascii="GHEA Grapalat" w:hAnsi="GHEA Grapalat"/>
          <w:sz w:val="23"/>
          <w:szCs w:val="23"/>
          <w:lang w:val="en-US"/>
        </w:rPr>
        <w:t>.</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Համայնքի հողային հաշվեկշռի կառուցվածքի նկարագրությունը.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Համայնքի սեփականության հողերի դասակարգումը ըստ հողատեսքերի, ըստ նպատակային և գործառնական նշանակության.</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en-US"/>
        </w:rPr>
        <w:t>✓</w:t>
      </w:r>
      <w:r w:rsidRPr="00912F49">
        <w:rPr>
          <w:rFonts w:ascii="GHEA Grapalat" w:hAnsi="GHEA Grapalat" w:cs="Wingdings"/>
          <w:sz w:val="23"/>
          <w:szCs w:val="23"/>
          <w:lang w:val="en-US"/>
        </w:rPr>
        <w:t xml:space="preserve"> </w:t>
      </w:r>
      <w:r w:rsidRPr="007729F2">
        <w:rPr>
          <w:rFonts w:ascii="GHEA Grapalat" w:hAnsi="GHEA Grapalat"/>
          <w:sz w:val="23"/>
          <w:szCs w:val="23"/>
        </w:rPr>
        <w:t>Ծրագրի</w:t>
      </w:r>
      <w:r w:rsidRPr="00912F49">
        <w:rPr>
          <w:rFonts w:ascii="GHEA Grapalat" w:hAnsi="GHEA Grapalat"/>
          <w:sz w:val="23"/>
          <w:szCs w:val="23"/>
          <w:lang w:val="en-US"/>
        </w:rPr>
        <w:t xml:space="preserve"> </w:t>
      </w:r>
      <w:r w:rsidRPr="007729F2">
        <w:rPr>
          <w:rFonts w:ascii="GHEA Grapalat" w:hAnsi="GHEA Grapalat"/>
          <w:sz w:val="23"/>
          <w:szCs w:val="23"/>
        </w:rPr>
        <w:t>գործողության</w:t>
      </w:r>
      <w:r w:rsidRPr="00912F49">
        <w:rPr>
          <w:rFonts w:ascii="GHEA Grapalat" w:hAnsi="GHEA Grapalat"/>
          <w:sz w:val="23"/>
          <w:szCs w:val="23"/>
          <w:lang w:val="en-US"/>
        </w:rPr>
        <w:t xml:space="preserve"> </w:t>
      </w:r>
      <w:r w:rsidRPr="007729F2">
        <w:rPr>
          <w:rFonts w:ascii="GHEA Grapalat" w:hAnsi="GHEA Grapalat"/>
          <w:sz w:val="23"/>
          <w:szCs w:val="23"/>
        </w:rPr>
        <w:t>շրջանակները</w:t>
      </w:r>
      <w:r w:rsidRPr="00912F49">
        <w:rPr>
          <w:rFonts w:ascii="GHEA Grapalat" w:hAnsi="GHEA Grapalat"/>
          <w:sz w:val="23"/>
          <w:szCs w:val="23"/>
          <w:lang w:val="en-US"/>
        </w:rPr>
        <w:t>.</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en-US"/>
        </w:rPr>
        <w:t>✓</w:t>
      </w:r>
      <w:r w:rsidRPr="00912F49">
        <w:rPr>
          <w:rFonts w:ascii="GHEA Grapalat" w:hAnsi="GHEA Grapalat" w:cs="Wingdings"/>
          <w:sz w:val="23"/>
          <w:szCs w:val="23"/>
          <w:lang w:val="en-US"/>
        </w:rPr>
        <w:t xml:space="preserve"> </w:t>
      </w:r>
      <w:r w:rsidRPr="007729F2">
        <w:rPr>
          <w:rFonts w:ascii="GHEA Grapalat" w:hAnsi="GHEA Grapalat"/>
          <w:sz w:val="23"/>
          <w:szCs w:val="23"/>
        </w:rPr>
        <w:t>Ծրագրի</w:t>
      </w:r>
      <w:r w:rsidRPr="00912F49">
        <w:rPr>
          <w:rFonts w:ascii="GHEA Grapalat" w:hAnsi="GHEA Grapalat"/>
          <w:sz w:val="23"/>
          <w:szCs w:val="23"/>
          <w:lang w:val="en-US"/>
        </w:rPr>
        <w:t xml:space="preserve"> </w:t>
      </w:r>
      <w:r w:rsidRPr="007729F2">
        <w:rPr>
          <w:rFonts w:ascii="GHEA Grapalat" w:hAnsi="GHEA Grapalat"/>
          <w:sz w:val="23"/>
          <w:szCs w:val="23"/>
        </w:rPr>
        <w:t>խնդիրները</w:t>
      </w:r>
      <w:r w:rsidRPr="00912F49">
        <w:rPr>
          <w:rFonts w:ascii="GHEA Grapalat" w:hAnsi="GHEA Grapalat"/>
          <w:sz w:val="23"/>
          <w:szCs w:val="23"/>
          <w:lang w:val="en-US"/>
        </w:rPr>
        <w:t>.</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en-US"/>
        </w:rPr>
        <w:t>✓</w:t>
      </w:r>
      <w:r w:rsidRPr="00912F49">
        <w:rPr>
          <w:rFonts w:ascii="GHEA Grapalat" w:hAnsi="GHEA Grapalat" w:cs="Wingdings"/>
          <w:sz w:val="23"/>
          <w:szCs w:val="23"/>
          <w:lang w:val="en-US"/>
        </w:rPr>
        <w:t xml:space="preserve"> </w:t>
      </w:r>
      <w:r w:rsidRPr="007729F2">
        <w:rPr>
          <w:rFonts w:ascii="GHEA Grapalat" w:hAnsi="GHEA Grapalat"/>
          <w:sz w:val="23"/>
          <w:szCs w:val="23"/>
        </w:rPr>
        <w:t>Ծրագրի</w:t>
      </w:r>
      <w:r w:rsidRPr="00912F49">
        <w:rPr>
          <w:rFonts w:ascii="GHEA Grapalat" w:hAnsi="GHEA Grapalat"/>
          <w:sz w:val="23"/>
          <w:szCs w:val="23"/>
          <w:lang w:val="en-US"/>
        </w:rPr>
        <w:t xml:space="preserve"> </w:t>
      </w:r>
      <w:r w:rsidRPr="007729F2">
        <w:rPr>
          <w:rFonts w:ascii="GHEA Grapalat" w:hAnsi="GHEA Grapalat"/>
          <w:sz w:val="23"/>
          <w:szCs w:val="23"/>
        </w:rPr>
        <w:t>նպատակները</w:t>
      </w:r>
      <w:r w:rsidRPr="00912F49">
        <w:rPr>
          <w:rFonts w:ascii="GHEA Grapalat" w:hAnsi="GHEA Grapalat"/>
          <w:sz w:val="23"/>
          <w:szCs w:val="23"/>
          <w:lang w:val="en-US"/>
        </w:rPr>
        <w:t>.</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en-US"/>
        </w:rPr>
        <w:t>✓</w:t>
      </w:r>
      <w:r w:rsidRPr="00912F49">
        <w:rPr>
          <w:rFonts w:ascii="GHEA Grapalat" w:hAnsi="GHEA Grapalat" w:cs="Wingdings"/>
          <w:sz w:val="23"/>
          <w:szCs w:val="23"/>
          <w:lang w:val="en-US"/>
        </w:rPr>
        <w:t xml:space="preserve"> </w:t>
      </w:r>
      <w:r w:rsidRPr="007729F2">
        <w:rPr>
          <w:rFonts w:ascii="GHEA Grapalat" w:hAnsi="GHEA Grapalat"/>
          <w:sz w:val="23"/>
          <w:szCs w:val="23"/>
        </w:rPr>
        <w:t>Հողամասի</w:t>
      </w:r>
      <w:r w:rsidRPr="00912F49">
        <w:rPr>
          <w:rFonts w:ascii="GHEA Grapalat" w:hAnsi="GHEA Grapalat"/>
          <w:sz w:val="23"/>
          <w:szCs w:val="23"/>
          <w:lang w:val="en-US"/>
        </w:rPr>
        <w:t xml:space="preserve"> </w:t>
      </w:r>
      <w:r w:rsidRPr="007729F2">
        <w:rPr>
          <w:rFonts w:ascii="GHEA Grapalat" w:hAnsi="GHEA Grapalat"/>
          <w:sz w:val="23"/>
          <w:szCs w:val="23"/>
        </w:rPr>
        <w:t>օտարման</w:t>
      </w:r>
      <w:r w:rsidRPr="00912F49">
        <w:rPr>
          <w:rFonts w:ascii="GHEA Grapalat" w:hAnsi="GHEA Grapalat"/>
          <w:sz w:val="23"/>
          <w:szCs w:val="23"/>
          <w:lang w:val="en-US"/>
        </w:rPr>
        <w:t xml:space="preserve"> </w:t>
      </w:r>
      <w:r w:rsidRPr="007729F2">
        <w:rPr>
          <w:rFonts w:ascii="GHEA Grapalat" w:hAnsi="GHEA Grapalat"/>
          <w:sz w:val="23"/>
          <w:szCs w:val="23"/>
        </w:rPr>
        <w:t>օրենսդրական</w:t>
      </w:r>
      <w:r w:rsidRPr="00912F49">
        <w:rPr>
          <w:rFonts w:ascii="GHEA Grapalat" w:hAnsi="GHEA Grapalat"/>
          <w:sz w:val="23"/>
          <w:szCs w:val="23"/>
          <w:lang w:val="en-US"/>
        </w:rPr>
        <w:t xml:space="preserve"> </w:t>
      </w:r>
      <w:r w:rsidRPr="007729F2">
        <w:rPr>
          <w:rFonts w:ascii="GHEA Grapalat" w:hAnsi="GHEA Grapalat"/>
          <w:sz w:val="23"/>
          <w:szCs w:val="23"/>
        </w:rPr>
        <w:t>կառուցակարգերը</w:t>
      </w:r>
      <w:r w:rsidRPr="00912F49">
        <w:rPr>
          <w:rFonts w:ascii="GHEA Grapalat" w:hAnsi="GHEA Grapalat"/>
          <w:sz w:val="23"/>
          <w:szCs w:val="23"/>
          <w:lang w:val="en-US"/>
        </w:rPr>
        <w:t>.</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 xml:space="preserve">Հողամասը օգտագործման տրամադրելու օրենսդրական կարգավորումները և ընթացակարգերը. Համայնքի վարչական սահմաններում գտնվող համայնքային և </w:t>
      </w:r>
      <w:r w:rsidRPr="00912F49">
        <w:rPr>
          <w:rFonts w:ascii="GHEA Grapalat" w:hAnsi="GHEA Grapalat"/>
          <w:sz w:val="23"/>
          <w:szCs w:val="23"/>
          <w:lang w:val="hy-AM"/>
        </w:rPr>
        <w:lastRenderedPageBreak/>
        <w:t>պետական սեփականություն հանդիսացող արոտավայրերի և խոտհարքների կառավարման առանձնահատկությունները.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Համայնքի սեփականություն հանդիսացող հողերի ամենամյա պարտադիր գույքագրում իրականացնելու ընթացակարգերը.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Հողերի կառավարման ուղղությունները և միջոցառումները.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Ծրագրով նախատեսված միջոցառումների կատարման ապահովման և ծրագրի կատարման տարեկան հաշվետվության մշակման և ներկայացման ընթացակարգերը.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Ծրագրում փոփոխություններ և լրացումներ կատարելու կարգը.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Ծրագրի իրականացման ֆինանսավորման և հնարավոր կանխատեսվող եկամուտների հետ կապված կարգավորումները.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Համայնքի սեփականություն հանդիսացող հողերի կառավարման գործընթացներում թափանցիկությունն ապահովելու հետ կապված գործիքակազմերը.</w:t>
      </w:r>
    </w:p>
    <w:p w:rsidR="00912F49" w:rsidRDefault="00912F49" w:rsidP="00912F49">
      <w:pPr>
        <w:pStyle w:val="Default"/>
        <w:jc w:val="both"/>
        <w:rPr>
          <w:rFonts w:ascii="GHEA Grapalat" w:hAnsi="GHEA Grapalat"/>
          <w:sz w:val="23"/>
          <w:szCs w:val="23"/>
          <w:lang w:val="hy-AM"/>
        </w:rPr>
      </w:pPr>
      <w:r w:rsidRPr="00912F49">
        <w:rPr>
          <w:rFonts w:ascii="MS Gothic" w:eastAsia="MS Gothic" w:hAnsi="MS Gothic" w:cs="MS Gothic" w:hint="eastAsia"/>
          <w:sz w:val="23"/>
          <w:szCs w:val="23"/>
          <w:lang w:val="hy-AM"/>
        </w:rPr>
        <w:t>✓</w:t>
      </w:r>
      <w:r w:rsidRPr="00912F49">
        <w:rPr>
          <w:rFonts w:ascii="GHEA Grapalat" w:hAnsi="GHEA Grapalat" w:cs="Wingdings"/>
          <w:sz w:val="23"/>
          <w:szCs w:val="23"/>
          <w:lang w:val="hy-AM"/>
        </w:rPr>
        <w:t xml:space="preserve"> </w:t>
      </w:r>
      <w:r w:rsidRPr="00912F49">
        <w:rPr>
          <w:rFonts w:ascii="GHEA Grapalat" w:hAnsi="GHEA Grapalat"/>
          <w:sz w:val="23"/>
          <w:szCs w:val="23"/>
          <w:lang w:val="hy-AM"/>
        </w:rPr>
        <w:t>Հողերի կառավարման գործընթացներից բխող բոլոր փաստաթղթերի օրինակելի ձևերը և այլն:</w:t>
      </w:r>
    </w:p>
    <w:p w:rsidR="00912F49" w:rsidRDefault="00912F49" w:rsidP="00912F49">
      <w:pPr>
        <w:pStyle w:val="Default"/>
        <w:ind w:firstLine="708"/>
        <w:jc w:val="both"/>
        <w:rPr>
          <w:rFonts w:ascii="GHEA Grapalat" w:hAnsi="GHEA Grapalat"/>
          <w:sz w:val="23"/>
          <w:szCs w:val="23"/>
          <w:lang w:val="hy-AM"/>
        </w:rPr>
      </w:pPr>
      <w:r w:rsidRPr="00912F49">
        <w:rPr>
          <w:rFonts w:ascii="GHEA Grapalat" w:hAnsi="GHEA Grapalat"/>
          <w:sz w:val="23"/>
          <w:szCs w:val="23"/>
          <w:lang w:val="hy-AM"/>
        </w:rPr>
        <w:t>Նախագծում առանձակի կարևորվել է համայնքի վարչական սահմաններում գտնվող արոտավայրերի և խոտհարքների կառավարման հետ կապված առանձնահատկությունների սահմանումը, ըստ որի՝ Հայաստանի Հանրապետության հողային օրենսդրության կարգավորումների շրջանակներում ներկայացվել են պետական և համայնքային սեփականություն հանդիսացող արոտավայրերի և խոտհարքների տնօրինման հետ կապված օրենսդրական սահմանափակումները, օգտագործման տրամադրելու հետ կապված ընթացակարգերը, վարձակալության պայմանագրերի օրինակելի ձևերը և այլն: Նախագծով անդրադարձ է կատարվել համայնքի վարչական սահմաններում գտնվող պետական և համայնքային սեփականություն հանդիսացող արոտավայրերի և խոտհարքների օգտագործման (կառավարման) պլանը մշակելու ընթացակարգերին, ժամկետներին, դրանում նկարագրվող բովանդակությանը: Նախագծով ներկայացվել է համայնքի վարչական սահմաններում գտնվող պետական և համայնքային սեփականություն հանդիսացող արոտավայրերի և խոտհարքների օգտագործման (կառավարման) պլանի կառուցվածքը, որի շրջանակներում նախատեսվում է ներառել հետևյալ բաղադրիչները.</w:t>
      </w:r>
    </w:p>
    <w:p w:rsidR="00912F49" w:rsidRDefault="00912F49" w:rsidP="00912F49">
      <w:pPr>
        <w:pStyle w:val="Default"/>
        <w:numPr>
          <w:ilvl w:val="0"/>
          <w:numId w:val="2"/>
        </w:numPr>
        <w:jc w:val="both"/>
        <w:rPr>
          <w:rFonts w:ascii="GHEA Grapalat" w:hAnsi="GHEA Grapalat"/>
          <w:sz w:val="23"/>
          <w:szCs w:val="23"/>
          <w:lang w:val="hy-AM"/>
        </w:rPr>
      </w:pPr>
      <w:r w:rsidRPr="00912F49">
        <w:rPr>
          <w:rFonts w:ascii="GHEA Grapalat" w:hAnsi="GHEA Grapalat"/>
          <w:sz w:val="23"/>
          <w:szCs w:val="23"/>
          <w:lang w:val="hy-AM"/>
        </w:rPr>
        <w:t>Ընդհանուր արոտավայրեր -59930 հա որից՝ համայնքային – 18305 հա, պետական-41595 հա, համայնքի ընդհանուր անասնագլխաքանակը- 34844 գլուխ որից՝</w:t>
      </w:r>
    </w:p>
    <w:p w:rsid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ԽԵԱ-23399 գլուխ, ՄԵԱ-11445 գլուխ</w:t>
      </w:r>
    </w:p>
    <w:p w:rsid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2.</w:t>
      </w:r>
      <w:r>
        <w:rPr>
          <w:rFonts w:ascii="GHEA Grapalat" w:hAnsi="GHEA Grapalat"/>
          <w:sz w:val="23"/>
          <w:szCs w:val="23"/>
          <w:lang w:val="en-US"/>
        </w:rPr>
        <w:t xml:space="preserve"> </w:t>
      </w:r>
      <w:r w:rsidRPr="00912F49">
        <w:rPr>
          <w:rFonts w:ascii="GHEA Grapalat" w:hAnsi="GHEA Grapalat"/>
          <w:sz w:val="23"/>
          <w:szCs w:val="23"/>
          <w:lang w:val="hy-AM"/>
        </w:rPr>
        <w:t>Անասնակերերի պահանջը – 51800 հակ</w:t>
      </w:r>
    </w:p>
    <w:p w:rsid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3.Տնտեսությունների թիվը </w:t>
      </w:r>
      <w:r>
        <w:rPr>
          <w:rFonts w:ascii="GHEA Grapalat" w:hAnsi="GHEA Grapalat"/>
          <w:sz w:val="23"/>
          <w:szCs w:val="23"/>
          <w:lang w:val="hy-AM"/>
        </w:rPr>
        <w:t>–</w:t>
      </w:r>
      <w:r w:rsidRPr="00912F49">
        <w:rPr>
          <w:rFonts w:ascii="GHEA Grapalat" w:hAnsi="GHEA Grapalat"/>
          <w:sz w:val="23"/>
          <w:szCs w:val="23"/>
          <w:lang w:val="hy-AM"/>
        </w:rPr>
        <w:t xml:space="preserve"> 27100</w:t>
      </w:r>
    </w:p>
    <w:p w:rsid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4. Հհամայնքի ֆիզիկաաշխարհագրական առանձնահատկությունները- լեռնային գոտի 6 ամիս մսուրային, 6 ամիս արոտ խիստ և ցուրտ ձմեռներով. </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5. Ըստ գոտիների արոտատեղամասերի ընթացիկ կառավարումը- արոտատեղամասերի ընթացիք կառավարումը վերջին տարիներին կարգավորվում է և տարերային բնույթ չի կրում</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6. արոտատեղամասերի էկոլոգիական գնահատումը - ալպյան մաքուր, թթվածնով հարուստ պարզ գոտի․ </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7. Համայնքի արոտների և խոտհարքների բուսածածկն ու բերքատվության ցուցանիշները - 1500-1800կգ/հա․</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8.Համայնքի կերահանդակներից և այլընտրանքային կերապահովման տարածքներից ստացվող չոր զանգվածի և արածեցման օրերի քանակը – ցանովի կերհանդակները ավելանում են, նպաստելով կերամիավորների ավելացմանը, այլընտրանքային </w:t>
      </w:r>
      <w:r w:rsidRPr="00912F49">
        <w:rPr>
          <w:rFonts w:ascii="GHEA Grapalat" w:hAnsi="GHEA Grapalat"/>
          <w:sz w:val="23"/>
          <w:szCs w:val="23"/>
          <w:lang w:val="hy-AM"/>
        </w:rPr>
        <w:lastRenderedPageBreak/>
        <w:t>տարածքներից ստացվում է մոտ 500 տոննա չոր զանգված, արածեցման օրերի թիվը 180 օր:</w:t>
      </w:r>
    </w:p>
    <w:p w:rsid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9. Արոտատեղամասերի բաշխվածության գոտիականության քարտեզը- ցածրադիր վայրերից դեպի ամենաբարձրադիր գոտիները.</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10. Արոտատեղամասերի բաշխվածության քարտեզը- արոտատեղամասերը բաշխվում են ըստ գլխաքանակին և տեղամասի համամասնությամբ․ </w:t>
      </w:r>
    </w:p>
    <w:p w:rsidR="00912F49" w:rsidRPr="00912F49" w:rsidRDefault="00912F49" w:rsidP="00912F49">
      <w:pPr>
        <w:pStyle w:val="Default"/>
        <w:ind w:left="142"/>
        <w:jc w:val="both"/>
        <w:rPr>
          <w:rFonts w:ascii="GHEA Grapalat" w:hAnsi="GHEA Grapalat"/>
          <w:sz w:val="23"/>
          <w:szCs w:val="23"/>
          <w:lang w:val="hy-AM"/>
        </w:rPr>
      </w:pPr>
      <w:r w:rsidRPr="00912F49">
        <w:rPr>
          <w:rFonts w:ascii="GHEA Grapalat" w:hAnsi="GHEA Grapalat"/>
          <w:sz w:val="23"/>
          <w:szCs w:val="23"/>
          <w:lang w:val="hy-AM"/>
        </w:rPr>
        <w:t xml:space="preserve">11. Արոտատեղամասերի արածեցման գրաֆիկը- ըստ բուսածածկի բավարար առկայության և հերթականության։Միաժամանակ, Նախագծով նախատեսված են կարգավորումներ, որոնք վերաբերելի են համայնքի վարչական սահմաններում անասուների արածեցման կարգին, համայնքային և պետական սեփականություն հանդիսացող արոտավայրերի և խոտհարքների նպատակային օգտագործմանը և դրանից բխող վերահսկողական բնույթի գործիքակազմերի կիրառությանը: Նախագծի ընդունման արդյունքում, համայնքային մակարդակում կիրացվի օրենսդրական պահանջները, որով համայնքի տեղական ինքնակառավարման մարմինները պետք է մշակեն և հաստատեն համայնքի սեփականությունը հանդիսացող հողերի կառավարման ամենամյա ծրագիրը: Նախագծի ընդունմամբ պայմանավորված, կսահմանվեն համայնքի սեփականությունը հանդիսացող և համայնքի տեղական ինքնակառավարման մարմինների կառավարմանը փոխանցված հողերի պլանավորման և կառավարման հետ կապված իրավահարաբերությունները, համայնքային մակարդակում կսահմանվեն հողերի օգտագործման, տիրապետման և տնօրինման հետ կապված ընթացակարգերը: Կհստակեցվեն համայնքների տեղական ինքնակառավարման մարմինների և դրանց պաշտոնատար անձանց գործողությունները, մասնավորապես՝ լիազորություններից բխող գործառույթների սահմանմամբ, ինչն իր հերթին առավելապես հստակեցնելու է հողերի կառավարման գործընթացների հիմնական դերակատարների իրավունքների և պարտականությունների շրջանակը: Նախագծի ընդունումը հնարավորություն կընձեռի համայնքում բացառել կամ գոնե էականորեն նվազեցնել հողերի կառավարման գործընթացներում սուբյեկտիվ գործոնի հնարավոր ազդեցությունն ու դրանով պայմանավորված կիրառությունը: Համայնքի տեղական ինքնակառավարման մարմինների լիազորությունների իրականացման տեսանկյունից, սույն հիմնավորման հիմքում ընկած Նախագծի ընդունմամբ, առավել քան կկանոնակարգվեն համայնքի և դրա տեղական ինքնակառավարման մարմինների կողմից իրականացվող հողային իրավահարաբերությունները, ինչը թույլ կտա արձանագրելու համայնքի տեղական ինքնակառավարման մարմինների գործունեության օրինականության մակարդակի էական բարձրացում: Նախագծի ընդունումը էականորեն կբարձրացնի համայնքի տնտեսական ակտիվության ցուցիչը՝ լրացուցիչ ակտիվների ներգրավման համատեքստում, ինչն իր հերթին կարող է էականորեն ավելացնել համայնքի սեփական եկամուտների տեսակարար կշիռը: Բացի այն հանգամանքից, որ Նախագծով ինստիտուցիոնալացվելու է համայնքի վարչական սահմաններում գտնվող հողերի կառավարման գործընթացները, այլև հնարավորություն է ստեղծվելու գնահատելու հողերի կառավարման ամենամյա ծրագրի կատարողականը: Մասնավորապես՝ լինելով համայնքի հնգամյա զարգացման ծրագրի բաղկացուցիչ մաս, հողերի կառավարման ամենամյա ծրագրի մշակումը և հաստատումը կարող է լրացուցիչ գործոն հանդիսանալ համայնքի հնգամյա զարգացման ծրագրի ինչպես կարևորության փաստման համար, այնպես էլ դրա հաշվետվողականության ապահովման համար: </w:t>
      </w:r>
    </w:p>
    <w:p w:rsidR="003D50A1" w:rsidRDefault="00912F49" w:rsidP="00912F49">
      <w:pPr>
        <w:ind w:firstLine="708"/>
        <w:jc w:val="both"/>
        <w:rPr>
          <w:rFonts w:ascii="GHEA Grapalat" w:hAnsi="GHEA Grapalat"/>
          <w:sz w:val="23"/>
          <w:szCs w:val="23"/>
        </w:rPr>
      </w:pPr>
      <w:r w:rsidRPr="007729F2">
        <w:rPr>
          <w:rFonts w:ascii="GHEA Grapalat" w:hAnsi="GHEA Grapalat"/>
          <w:sz w:val="23"/>
          <w:szCs w:val="23"/>
        </w:rPr>
        <w:lastRenderedPageBreak/>
        <w:t>Նախագծի</w:t>
      </w:r>
      <w:r w:rsidRPr="00912F49">
        <w:rPr>
          <w:rFonts w:ascii="GHEA Grapalat" w:hAnsi="GHEA Grapalat"/>
          <w:sz w:val="23"/>
          <w:szCs w:val="23"/>
        </w:rPr>
        <w:t xml:space="preserve"> </w:t>
      </w:r>
      <w:r w:rsidRPr="007729F2">
        <w:rPr>
          <w:rFonts w:ascii="GHEA Grapalat" w:hAnsi="GHEA Grapalat"/>
          <w:sz w:val="23"/>
          <w:szCs w:val="23"/>
        </w:rPr>
        <w:t>ընդունման</w:t>
      </w:r>
      <w:r w:rsidRPr="00912F49">
        <w:rPr>
          <w:rFonts w:ascii="GHEA Grapalat" w:hAnsi="GHEA Grapalat"/>
          <w:sz w:val="23"/>
          <w:szCs w:val="23"/>
        </w:rPr>
        <w:t xml:space="preserve"> </w:t>
      </w:r>
      <w:r w:rsidRPr="007729F2">
        <w:rPr>
          <w:rFonts w:ascii="GHEA Grapalat" w:hAnsi="GHEA Grapalat"/>
          <w:sz w:val="23"/>
          <w:szCs w:val="23"/>
        </w:rPr>
        <w:t>արդյունքում</w:t>
      </w:r>
      <w:r w:rsidRPr="00912F49">
        <w:rPr>
          <w:rFonts w:ascii="GHEA Grapalat" w:hAnsi="GHEA Grapalat"/>
          <w:sz w:val="23"/>
          <w:szCs w:val="23"/>
        </w:rPr>
        <w:t xml:space="preserve"> </w:t>
      </w:r>
      <w:r w:rsidRPr="007729F2">
        <w:rPr>
          <w:rFonts w:ascii="GHEA Grapalat" w:hAnsi="GHEA Grapalat"/>
          <w:sz w:val="23"/>
          <w:szCs w:val="23"/>
        </w:rPr>
        <w:t>կապահովվի</w:t>
      </w:r>
      <w:r w:rsidRPr="00912F49">
        <w:rPr>
          <w:rFonts w:ascii="GHEA Grapalat" w:hAnsi="GHEA Grapalat"/>
          <w:sz w:val="23"/>
          <w:szCs w:val="23"/>
        </w:rPr>
        <w:t xml:space="preserve"> «</w:t>
      </w:r>
      <w:r w:rsidRPr="007729F2">
        <w:rPr>
          <w:rFonts w:ascii="GHEA Grapalat" w:hAnsi="GHEA Grapalat"/>
          <w:sz w:val="23"/>
          <w:szCs w:val="23"/>
        </w:rPr>
        <w:t>Տեղական</w:t>
      </w:r>
      <w:r w:rsidRPr="00912F49">
        <w:rPr>
          <w:rFonts w:ascii="GHEA Grapalat" w:hAnsi="GHEA Grapalat"/>
          <w:sz w:val="23"/>
          <w:szCs w:val="23"/>
        </w:rPr>
        <w:t xml:space="preserve"> </w:t>
      </w:r>
      <w:r w:rsidRPr="007729F2">
        <w:rPr>
          <w:rFonts w:ascii="GHEA Grapalat" w:hAnsi="GHEA Grapalat"/>
          <w:sz w:val="23"/>
          <w:szCs w:val="23"/>
        </w:rPr>
        <w:t>ինքնակառավարման</w:t>
      </w:r>
      <w:r w:rsidRPr="00912F49">
        <w:rPr>
          <w:rFonts w:ascii="GHEA Grapalat" w:hAnsi="GHEA Grapalat"/>
          <w:sz w:val="23"/>
          <w:szCs w:val="23"/>
        </w:rPr>
        <w:t xml:space="preserve"> </w:t>
      </w:r>
      <w:r w:rsidRPr="007729F2">
        <w:rPr>
          <w:rFonts w:ascii="GHEA Grapalat" w:hAnsi="GHEA Grapalat"/>
          <w:sz w:val="23"/>
          <w:szCs w:val="23"/>
        </w:rPr>
        <w:t>մասին</w:t>
      </w:r>
      <w:r w:rsidRPr="00912F49">
        <w:rPr>
          <w:rFonts w:ascii="GHEA Grapalat" w:hAnsi="GHEA Grapalat"/>
          <w:sz w:val="23"/>
          <w:szCs w:val="23"/>
        </w:rPr>
        <w:t xml:space="preserve">» </w:t>
      </w:r>
      <w:r w:rsidRPr="007729F2">
        <w:rPr>
          <w:rFonts w:ascii="GHEA Grapalat" w:hAnsi="GHEA Grapalat"/>
          <w:sz w:val="23"/>
          <w:szCs w:val="23"/>
        </w:rPr>
        <w:t>օրենքի</w:t>
      </w:r>
      <w:r w:rsidRPr="00912F49">
        <w:rPr>
          <w:rFonts w:ascii="GHEA Grapalat" w:hAnsi="GHEA Grapalat"/>
          <w:sz w:val="23"/>
          <w:szCs w:val="23"/>
        </w:rPr>
        <w:t xml:space="preserve"> 43-</w:t>
      </w:r>
      <w:r w:rsidRPr="007729F2">
        <w:rPr>
          <w:rFonts w:ascii="GHEA Grapalat" w:hAnsi="GHEA Grapalat"/>
          <w:sz w:val="23"/>
          <w:szCs w:val="23"/>
        </w:rPr>
        <w:t>րդ</w:t>
      </w:r>
      <w:r w:rsidRPr="00912F49">
        <w:rPr>
          <w:rFonts w:ascii="GHEA Grapalat" w:hAnsi="GHEA Grapalat"/>
          <w:sz w:val="23"/>
          <w:szCs w:val="23"/>
        </w:rPr>
        <w:t xml:space="preserve"> </w:t>
      </w:r>
      <w:r w:rsidRPr="007729F2">
        <w:rPr>
          <w:rFonts w:ascii="GHEA Grapalat" w:hAnsi="GHEA Grapalat"/>
          <w:sz w:val="23"/>
          <w:szCs w:val="23"/>
        </w:rPr>
        <w:t>հոդվածի</w:t>
      </w:r>
      <w:r w:rsidRPr="00912F49">
        <w:rPr>
          <w:rFonts w:ascii="GHEA Grapalat" w:hAnsi="GHEA Grapalat"/>
          <w:sz w:val="23"/>
          <w:szCs w:val="23"/>
        </w:rPr>
        <w:t xml:space="preserve"> 1-</w:t>
      </w:r>
      <w:r w:rsidRPr="007729F2">
        <w:rPr>
          <w:rFonts w:ascii="GHEA Grapalat" w:hAnsi="GHEA Grapalat"/>
          <w:sz w:val="23"/>
          <w:szCs w:val="23"/>
        </w:rPr>
        <w:t>ին</w:t>
      </w:r>
      <w:r w:rsidRPr="00912F49">
        <w:rPr>
          <w:rFonts w:ascii="GHEA Grapalat" w:hAnsi="GHEA Grapalat"/>
          <w:sz w:val="23"/>
          <w:szCs w:val="23"/>
        </w:rPr>
        <w:t xml:space="preserve"> </w:t>
      </w:r>
      <w:r w:rsidRPr="007729F2">
        <w:rPr>
          <w:rFonts w:ascii="GHEA Grapalat" w:hAnsi="GHEA Grapalat"/>
          <w:sz w:val="23"/>
          <w:szCs w:val="23"/>
        </w:rPr>
        <w:t>մասի</w:t>
      </w:r>
      <w:r w:rsidRPr="00912F49">
        <w:rPr>
          <w:rFonts w:ascii="GHEA Grapalat" w:hAnsi="GHEA Grapalat"/>
          <w:sz w:val="23"/>
          <w:szCs w:val="23"/>
        </w:rPr>
        <w:t xml:space="preserve"> 2-</w:t>
      </w:r>
      <w:r w:rsidRPr="007729F2">
        <w:rPr>
          <w:rFonts w:ascii="GHEA Grapalat" w:hAnsi="GHEA Grapalat"/>
          <w:sz w:val="23"/>
          <w:szCs w:val="23"/>
        </w:rPr>
        <w:t>րդ</w:t>
      </w:r>
      <w:r w:rsidRPr="00912F49">
        <w:rPr>
          <w:rFonts w:ascii="GHEA Grapalat" w:hAnsi="GHEA Grapalat"/>
          <w:sz w:val="23"/>
          <w:szCs w:val="23"/>
        </w:rPr>
        <w:t xml:space="preserve"> </w:t>
      </w:r>
      <w:r w:rsidRPr="007729F2">
        <w:rPr>
          <w:rFonts w:ascii="GHEA Grapalat" w:hAnsi="GHEA Grapalat"/>
          <w:sz w:val="23"/>
          <w:szCs w:val="23"/>
        </w:rPr>
        <w:t>կետով</w:t>
      </w:r>
      <w:r w:rsidRPr="00912F49">
        <w:rPr>
          <w:rFonts w:ascii="GHEA Grapalat" w:hAnsi="GHEA Grapalat"/>
          <w:sz w:val="23"/>
          <w:szCs w:val="23"/>
        </w:rPr>
        <w:t xml:space="preserve"> </w:t>
      </w:r>
      <w:r w:rsidRPr="007729F2">
        <w:rPr>
          <w:rFonts w:ascii="GHEA Grapalat" w:hAnsi="GHEA Grapalat"/>
          <w:sz w:val="23"/>
          <w:szCs w:val="23"/>
        </w:rPr>
        <w:t>սահմանված</w:t>
      </w:r>
      <w:r w:rsidRPr="00912F49">
        <w:rPr>
          <w:rFonts w:ascii="GHEA Grapalat" w:hAnsi="GHEA Grapalat"/>
          <w:sz w:val="23"/>
          <w:szCs w:val="23"/>
        </w:rPr>
        <w:t xml:space="preserve"> </w:t>
      </w:r>
      <w:r w:rsidRPr="007729F2">
        <w:rPr>
          <w:rFonts w:ascii="GHEA Grapalat" w:hAnsi="GHEA Grapalat"/>
          <w:sz w:val="23"/>
          <w:szCs w:val="23"/>
        </w:rPr>
        <w:t>պահանջների</w:t>
      </w:r>
      <w:r w:rsidRPr="00912F49">
        <w:rPr>
          <w:rFonts w:ascii="GHEA Grapalat" w:hAnsi="GHEA Grapalat"/>
          <w:sz w:val="23"/>
          <w:szCs w:val="23"/>
        </w:rPr>
        <w:t xml:space="preserve"> </w:t>
      </w:r>
      <w:r w:rsidRPr="007729F2">
        <w:rPr>
          <w:rFonts w:ascii="GHEA Grapalat" w:hAnsi="GHEA Grapalat"/>
          <w:sz w:val="23"/>
          <w:szCs w:val="23"/>
        </w:rPr>
        <w:t>իրագործումը</w:t>
      </w:r>
      <w:r w:rsidRPr="00912F49">
        <w:rPr>
          <w:rFonts w:ascii="GHEA Grapalat" w:hAnsi="GHEA Grapalat"/>
          <w:sz w:val="23"/>
          <w:szCs w:val="23"/>
        </w:rPr>
        <w:t xml:space="preserve">, </w:t>
      </w:r>
      <w:r w:rsidRPr="007729F2">
        <w:rPr>
          <w:rFonts w:ascii="GHEA Grapalat" w:hAnsi="GHEA Grapalat"/>
          <w:sz w:val="23"/>
          <w:szCs w:val="23"/>
        </w:rPr>
        <w:t>մասնավորապես՝</w:t>
      </w:r>
      <w:r w:rsidRPr="00912F49">
        <w:rPr>
          <w:rFonts w:ascii="GHEA Grapalat" w:hAnsi="GHEA Grapalat"/>
          <w:sz w:val="23"/>
          <w:szCs w:val="23"/>
        </w:rPr>
        <w:t xml:space="preserve"> </w:t>
      </w:r>
      <w:r w:rsidRPr="007729F2">
        <w:rPr>
          <w:rFonts w:ascii="GHEA Grapalat" w:hAnsi="GHEA Grapalat"/>
          <w:sz w:val="23"/>
          <w:szCs w:val="23"/>
        </w:rPr>
        <w:t>այդ</w:t>
      </w:r>
      <w:r w:rsidRPr="00912F49">
        <w:rPr>
          <w:rFonts w:ascii="GHEA Grapalat" w:hAnsi="GHEA Grapalat"/>
          <w:sz w:val="23"/>
          <w:szCs w:val="23"/>
        </w:rPr>
        <w:t xml:space="preserve"> </w:t>
      </w:r>
      <w:r w:rsidRPr="007729F2">
        <w:rPr>
          <w:rFonts w:ascii="GHEA Grapalat" w:hAnsi="GHEA Grapalat"/>
          <w:sz w:val="23"/>
          <w:szCs w:val="23"/>
        </w:rPr>
        <w:t>իրավանորմից</w:t>
      </w:r>
      <w:r w:rsidRPr="00912F49">
        <w:rPr>
          <w:rFonts w:ascii="GHEA Grapalat" w:hAnsi="GHEA Grapalat"/>
          <w:sz w:val="23"/>
          <w:szCs w:val="23"/>
        </w:rPr>
        <w:t xml:space="preserve"> </w:t>
      </w:r>
      <w:r w:rsidRPr="007729F2">
        <w:rPr>
          <w:rFonts w:ascii="GHEA Grapalat" w:hAnsi="GHEA Grapalat"/>
          <w:sz w:val="23"/>
          <w:szCs w:val="23"/>
        </w:rPr>
        <w:t>բխող</w:t>
      </w:r>
      <w:r w:rsidRPr="00912F49">
        <w:rPr>
          <w:rFonts w:ascii="GHEA Grapalat" w:hAnsi="GHEA Grapalat"/>
          <w:sz w:val="23"/>
          <w:szCs w:val="23"/>
        </w:rPr>
        <w:t xml:space="preserve"> </w:t>
      </w:r>
      <w:r w:rsidRPr="007729F2">
        <w:rPr>
          <w:rFonts w:ascii="GHEA Grapalat" w:hAnsi="GHEA Grapalat"/>
          <w:sz w:val="23"/>
          <w:szCs w:val="23"/>
        </w:rPr>
        <w:t>պարտավորությունների</w:t>
      </w:r>
      <w:r w:rsidRPr="00912F49">
        <w:rPr>
          <w:rFonts w:ascii="GHEA Grapalat" w:hAnsi="GHEA Grapalat"/>
          <w:sz w:val="23"/>
          <w:szCs w:val="23"/>
        </w:rPr>
        <w:t xml:space="preserve"> </w:t>
      </w:r>
      <w:r w:rsidRPr="007729F2">
        <w:rPr>
          <w:rFonts w:ascii="GHEA Grapalat" w:hAnsi="GHEA Grapalat"/>
          <w:sz w:val="23"/>
          <w:szCs w:val="23"/>
        </w:rPr>
        <w:t>իրացումը</w:t>
      </w:r>
      <w:r w:rsidRPr="00912F49">
        <w:rPr>
          <w:rFonts w:ascii="GHEA Grapalat" w:hAnsi="GHEA Grapalat"/>
          <w:sz w:val="23"/>
          <w:szCs w:val="23"/>
        </w:rPr>
        <w:t xml:space="preserve"> </w:t>
      </w:r>
      <w:r w:rsidRPr="007729F2">
        <w:rPr>
          <w:rFonts w:ascii="GHEA Grapalat" w:hAnsi="GHEA Grapalat"/>
          <w:sz w:val="23"/>
          <w:szCs w:val="23"/>
        </w:rPr>
        <w:t>համայնքի</w:t>
      </w:r>
      <w:r w:rsidRPr="00912F49">
        <w:rPr>
          <w:rFonts w:ascii="GHEA Grapalat" w:hAnsi="GHEA Grapalat"/>
          <w:sz w:val="23"/>
          <w:szCs w:val="23"/>
        </w:rPr>
        <w:t xml:space="preserve"> </w:t>
      </w:r>
      <w:r w:rsidRPr="007729F2">
        <w:rPr>
          <w:rFonts w:ascii="GHEA Grapalat" w:hAnsi="GHEA Grapalat"/>
          <w:sz w:val="23"/>
          <w:szCs w:val="23"/>
        </w:rPr>
        <w:t>ղեկավարի</w:t>
      </w:r>
      <w:r w:rsidRPr="00912F49">
        <w:rPr>
          <w:rFonts w:ascii="GHEA Grapalat" w:hAnsi="GHEA Grapalat"/>
          <w:sz w:val="23"/>
          <w:szCs w:val="23"/>
        </w:rPr>
        <w:t xml:space="preserve">, </w:t>
      </w:r>
      <w:r w:rsidRPr="007729F2">
        <w:rPr>
          <w:rFonts w:ascii="GHEA Grapalat" w:hAnsi="GHEA Grapalat"/>
          <w:sz w:val="23"/>
          <w:szCs w:val="23"/>
        </w:rPr>
        <w:t>ինչպես</w:t>
      </w:r>
      <w:r w:rsidRPr="00912F49">
        <w:rPr>
          <w:rFonts w:ascii="GHEA Grapalat" w:hAnsi="GHEA Grapalat"/>
          <w:sz w:val="23"/>
          <w:szCs w:val="23"/>
        </w:rPr>
        <w:t xml:space="preserve"> </w:t>
      </w:r>
      <w:r w:rsidRPr="007729F2">
        <w:rPr>
          <w:rFonts w:ascii="GHEA Grapalat" w:hAnsi="GHEA Grapalat"/>
          <w:sz w:val="23"/>
          <w:szCs w:val="23"/>
        </w:rPr>
        <w:t>նաև</w:t>
      </w:r>
      <w:r w:rsidRPr="00912F49">
        <w:rPr>
          <w:rFonts w:ascii="GHEA Grapalat" w:hAnsi="GHEA Grapalat"/>
          <w:sz w:val="23"/>
          <w:szCs w:val="23"/>
        </w:rPr>
        <w:t xml:space="preserve"> </w:t>
      </w:r>
      <w:r w:rsidRPr="007729F2">
        <w:rPr>
          <w:rFonts w:ascii="GHEA Grapalat" w:hAnsi="GHEA Grapalat"/>
          <w:sz w:val="23"/>
          <w:szCs w:val="23"/>
        </w:rPr>
        <w:t>համայնքի</w:t>
      </w:r>
      <w:r w:rsidRPr="00912F49">
        <w:rPr>
          <w:rFonts w:ascii="GHEA Grapalat" w:hAnsi="GHEA Grapalat"/>
          <w:sz w:val="23"/>
          <w:szCs w:val="23"/>
        </w:rPr>
        <w:t xml:space="preserve"> </w:t>
      </w:r>
      <w:r w:rsidRPr="007729F2">
        <w:rPr>
          <w:rFonts w:ascii="GHEA Grapalat" w:hAnsi="GHEA Grapalat"/>
          <w:sz w:val="23"/>
          <w:szCs w:val="23"/>
        </w:rPr>
        <w:t>ավագանու</w:t>
      </w:r>
      <w:r w:rsidRPr="00912F49">
        <w:rPr>
          <w:rFonts w:ascii="GHEA Grapalat" w:hAnsi="GHEA Grapalat"/>
          <w:sz w:val="23"/>
          <w:szCs w:val="23"/>
        </w:rPr>
        <w:t xml:space="preserve"> </w:t>
      </w:r>
      <w:r w:rsidRPr="007729F2">
        <w:rPr>
          <w:rFonts w:ascii="GHEA Grapalat" w:hAnsi="GHEA Grapalat"/>
          <w:sz w:val="23"/>
          <w:szCs w:val="23"/>
        </w:rPr>
        <w:t>կողմից</w:t>
      </w:r>
      <w:r w:rsidRPr="00912F49">
        <w:rPr>
          <w:rFonts w:ascii="GHEA Grapalat" w:hAnsi="GHEA Grapalat"/>
          <w:sz w:val="23"/>
          <w:szCs w:val="23"/>
        </w:rPr>
        <w:t>:</w:t>
      </w:r>
    </w:p>
    <w:p w:rsidR="000B6ECA" w:rsidRPr="000B6ECA" w:rsidRDefault="000B6ECA" w:rsidP="00912F49">
      <w:pPr>
        <w:ind w:firstLine="708"/>
        <w:jc w:val="both"/>
        <w:rPr>
          <w:rFonts w:ascii="GHEA Grapalat" w:hAnsi="GHEA Grapalat"/>
          <w:sz w:val="23"/>
          <w:szCs w:val="23"/>
        </w:rPr>
      </w:pPr>
      <w:bookmarkStart w:id="0" w:name="_GoBack"/>
      <w:bookmarkEnd w:id="0"/>
      <w:r>
        <w:rPr>
          <w:rFonts w:ascii="GHEA Grapalat" w:hAnsi="GHEA Grapalat"/>
          <w:sz w:val="23"/>
          <w:szCs w:val="23"/>
          <w:lang w:val="hy-AM"/>
        </w:rPr>
        <w:t>Ն</w:t>
      </w:r>
      <w:r w:rsidRPr="00DE3C12">
        <w:rPr>
          <w:rFonts w:ascii="GHEA Grapalat" w:hAnsi="GHEA Grapalat"/>
          <w:sz w:val="23"/>
          <w:szCs w:val="23"/>
        </w:rPr>
        <w:t>ախագծի ընդունման առնչությամբ այլ իրավական ակտերի ընդունման անհրաժեշտություն չի առաջանում:</w:t>
      </w:r>
    </w:p>
    <w:p w:rsidR="003D50A1" w:rsidRPr="0069731F" w:rsidRDefault="003D50A1" w:rsidP="003D50A1">
      <w:pPr>
        <w:shd w:val="clear" w:color="auto" w:fill="FFFFFF"/>
        <w:spacing w:after="0" w:line="240" w:lineRule="auto"/>
        <w:ind w:right="300"/>
        <w:jc w:val="both"/>
        <w:rPr>
          <w:rStyle w:val="a3"/>
          <w:rFonts w:ascii="GHEA Grapalat" w:hAnsi="GHEA Grapalat"/>
          <w:color w:val="000000" w:themeColor="text1"/>
          <w:lang w:val="hy-AM"/>
        </w:rPr>
      </w:pPr>
    </w:p>
    <w:p w:rsidR="004D4D9F" w:rsidRPr="003D50A1" w:rsidRDefault="003D50A1" w:rsidP="003D50A1">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p>
    <w:sectPr w:rsidR="004D4D9F" w:rsidRPr="003D5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E02"/>
    <w:multiLevelType w:val="hybridMultilevel"/>
    <w:tmpl w:val="BBBCA8DE"/>
    <w:lvl w:ilvl="0" w:tplc="516053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BBB17A1"/>
    <w:multiLevelType w:val="hybridMultilevel"/>
    <w:tmpl w:val="BD7CE08E"/>
    <w:lvl w:ilvl="0" w:tplc="9F32AFF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0B3194"/>
    <w:rsid w:val="000B6ECA"/>
    <w:rsid w:val="000D602E"/>
    <w:rsid w:val="00123D16"/>
    <w:rsid w:val="003D50A1"/>
    <w:rsid w:val="004D4D9F"/>
    <w:rsid w:val="00542360"/>
    <w:rsid w:val="006107A1"/>
    <w:rsid w:val="00707B02"/>
    <w:rsid w:val="00721C9E"/>
    <w:rsid w:val="008425AB"/>
    <w:rsid w:val="00912F49"/>
    <w:rsid w:val="00C84B30"/>
    <w:rsid w:val="00D34318"/>
    <w:rsid w:val="00F007D5"/>
    <w:rsid w:val="00FC19CF"/>
    <w:rsid w:val="00FC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A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 w:type="paragraph" w:customStyle="1" w:styleId="Default">
    <w:name w:val="Default"/>
    <w:rsid w:val="00912F49"/>
    <w:pPr>
      <w:autoSpaceDE w:val="0"/>
      <w:autoSpaceDN w:val="0"/>
      <w:adjustRightInd w:val="0"/>
      <w:spacing w:after="0" w:line="240" w:lineRule="auto"/>
    </w:pPr>
    <w:rPr>
      <w:rFonts w:ascii="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A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 w:type="paragraph" w:customStyle="1" w:styleId="Default">
    <w:name w:val="Default"/>
    <w:rsid w:val="00912F49"/>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15</cp:revision>
  <dcterms:created xsi:type="dcterms:W3CDTF">2022-07-22T16:19:00Z</dcterms:created>
  <dcterms:modified xsi:type="dcterms:W3CDTF">2023-03-24T10:44:00Z</dcterms:modified>
</cp:coreProperties>
</file>