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53" w:rsidRPr="00B82453" w:rsidRDefault="00B82453" w:rsidP="00B82453">
      <w:pPr>
        <w:jc w:val="center"/>
        <w:rPr>
          <w:rFonts w:ascii="GHEA Grapalat" w:hAnsi="GHEA Grapalat"/>
          <w:b/>
          <w:sz w:val="32"/>
        </w:rPr>
      </w:pPr>
      <w:r w:rsidRPr="00B82453">
        <w:rPr>
          <w:rFonts w:ascii="GHEA Grapalat" w:hAnsi="GHEA Grapalat" w:cs="Sylfaen"/>
          <w:b/>
          <w:sz w:val="32"/>
        </w:rPr>
        <w:t>ՀԻՄՆԱՎՈՐՈՒՄ</w:t>
      </w:r>
    </w:p>
    <w:p w:rsidR="00B82453" w:rsidRDefault="00B82453" w:rsidP="00B82453">
      <w:pPr>
        <w:jc w:val="center"/>
        <w:rPr>
          <w:rFonts w:ascii="GHEA Grapalat" w:hAnsi="GHEA Grapalat" w:cs="Sylfaen"/>
          <w:sz w:val="28"/>
        </w:rPr>
      </w:pPr>
      <w:r w:rsidRPr="00B82453">
        <w:rPr>
          <w:rFonts w:ascii="GHEA Grapalat" w:hAnsi="GHEA Grapalat"/>
          <w:sz w:val="28"/>
        </w:rPr>
        <w:t>«</w:t>
      </w:r>
      <w:bookmarkStart w:id="0" w:name="_GoBack"/>
      <w:r w:rsidR="00F703CF">
        <w:rPr>
          <w:rFonts w:ascii="GHEA Grapalat" w:hAnsi="GHEA Grapalat" w:cs="Sylfaen"/>
          <w:sz w:val="28"/>
          <w:lang w:val="hy-AM"/>
        </w:rPr>
        <w:t>ՄԱՐՏՈՒ</w:t>
      </w:r>
      <w:bookmarkEnd w:id="0"/>
      <w:r w:rsidR="00F703CF">
        <w:rPr>
          <w:rFonts w:ascii="GHEA Grapalat" w:hAnsi="GHEA Grapalat" w:cs="Sylfaen"/>
          <w:sz w:val="28"/>
          <w:lang w:val="hy-AM"/>
        </w:rPr>
        <w:t>ՆԻ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ՀԱՄԱՅՆՔԻ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ՍԵՓԱԿԱՆՈՒԹՅՈՒՆ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ՀԱՆԴԻՍԱՑՈՂ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ԳՈՒՅՔԻ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ԿԱՌԱՎԱՐՄԱՆ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ԿԱՐԳԸ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ՀԱՍՏԱՏԵԼՈՒ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ՄԱՍԻՆ</w:t>
      </w:r>
      <w:r w:rsidRPr="00B82453">
        <w:rPr>
          <w:rFonts w:ascii="GHEA Grapalat" w:hAnsi="GHEA Grapalat"/>
          <w:sz w:val="28"/>
        </w:rPr>
        <w:t xml:space="preserve">» </w:t>
      </w:r>
      <w:r w:rsidRPr="00B82453">
        <w:rPr>
          <w:rFonts w:ascii="GHEA Grapalat" w:hAnsi="GHEA Grapalat" w:cs="Sylfaen"/>
          <w:sz w:val="28"/>
        </w:rPr>
        <w:t>ՀԱՄԱՅՆՔԻ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ԱՎԱԳԱՆՈՒ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ՈՐՈՇՄԱՆ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ՆԱԽԱԳԾԻ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ԸՆԴՈՒՆՄԱՆ</w:t>
      </w:r>
      <w:r w:rsidRPr="00B82453">
        <w:rPr>
          <w:rFonts w:ascii="GHEA Grapalat" w:hAnsi="GHEA Grapalat"/>
          <w:sz w:val="28"/>
          <w:lang w:val="hy-AM"/>
        </w:rPr>
        <w:t xml:space="preserve"> </w:t>
      </w:r>
      <w:r w:rsidRPr="00B82453">
        <w:rPr>
          <w:rFonts w:ascii="GHEA Grapalat" w:hAnsi="GHEA Grapalat" w:cs="Sylfaen"/>
          <w:sz w:val="28"/>
        </w:rPr>
        <w:t>ԱՆՀՐԱԺԵՇՏՈՒԹՅԱՆ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ՎԵՐԱԲԵՐՅԱԼ</w:t>
      </w:r>
    </w:p>
    <w:p w:rsidR="00B82453" w:rsidRPr="00B82453" w:rsidRDefault="00B82453" w:rsidP="00B82453">
      <w:pPr>
        <w:spacing w:after="0"/>
        <w:jc w:val="center"/>
        <w:rPr>
          <w:rFonts w:ascii="GHEA Grapalat" w:hAnsi="GHEA Grapalat" w:cs="Sylfaen"/>
          <w:sz w:val="10"/>
        </w:rPr>
      </w:pPr>
    </w:p>
    <w:p w:rsidR="00B82453" w:rsidRDefault="00B82453" w:rsidP="00726F88">
      <w:pPr>
        <w:spacing w:after="0" w:line="360" w:lineRule="auto"/>
        <w:ind w:firstLine="357"/>
        <w:contextualSpacing/>
        <w:jc w:val="both"/>
        <w:rPr>
          <w:rFonts w:ascii="GHEA Grapalat" w:eastAsia="Calibri" w:hAnsi="GHEA Grapalat" w:cs="Sylfaen"/>
          <w:sz w:val="24"/>
          <w:szCs w:val="24"/>
          <w:lang w:val="hy-AM" w:bidi="en-US"/>
        </w:rPr>
      </w:pP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ՀՀ </w:t>
      </w:r>
      <w:r w:rsidR="00F703CF">
        <w:rPr>
          <w:rFonts w:ascii="GHEA Grapalat" w:eastAsia="Calibri" w:hAnsi="GHEA Grapalat" w:cs="Sylfaen"/>
          <w:sz w:val="24"/>
          <w:szCs w:val="24"/>
          <w:lang w:val="hy-AM" w:bidi="en-US"/>
        </w:rPr>
        <w:t>Գեղարքունիքի</w:t>
      </w:r>
      <w:r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մարզի </w:t>
      </w:r>
      <w:r w:rsidR="00F703CF">
        <w:rPr>
          <w:rFonts w:ascii="GHEA Grapalat" w:eastAsia="Calibri" w:hAnsi="GHEA Grapalat" w:cs="Sylfaen"/>
          <w:sz w:val="24"/>
          <w:szCs w:val="24"/>
          <w:lang w:val="hy-AM" w:bidi="en-US"/>
        </w:rPr>
        <w:t>Մարտունի</w:t>
      </w: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համայնքին սեփականության իրավունքով պատկանող գույքի կառավարումը սահմանվում է</w:t>
      </w:r>
      <w:r>
        <w:rPr>
          <w:rFonts w:ascii="GHEA Grapalat" w:eastAsia="Calibri" w:hAnsi="GHEA Grapalat" w:cs="Sylfaen"/>
          <w:sz w:val="24"/>
          <w:szCs w:val="24"/>
          <w:lang w:val="hy-AM" w:bidi="en-US"/>
        </w:rPr>
        <w:t>,</w:t>
      </w: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F11765" w:rsidRDefault="00B82453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Կարգի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նպատակն է նկարագրել </w:t>
      </w:r>
      <w:r w:rsidR="00BC3EDD">
        <w:rPr>
          <w:rFonts w:ascii="GHEA Grapalat" w:eastAsia="Calibri" w:hAnsi="GHEA Grapalat" w:cs="Sylfaen"/>
          <w:sz w:val="24"/>
          <w:szCs w:val="24"/>
          <w:lang w:val="hy-AM" w:bidi="en-US"/>
        </w:rPr>
        <w:t>Մարտունի</w:t>
      </w:r>
      <w:r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սեփականություն հանդիսացող գույքի կառավարման և ամենամյա պարտադիր գույքագրման կազմակերպման և ան</w:t>
      </w:r>
      <w:r w:rsidR="00F1176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ցկացման գործընթացը՝ ՀՀ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օրենսդրության և տեղական ինքնակառավարման բնագավառի օրենսդրության գործող իրավակարգավորումների հա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մատեքստում:</w:t>
      </w:r>
    </w:p>
    <w:p w:rsidR="00B82453" w:rsidRDefault="00B82453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Կարգում ներկայացված է  գույքի կառավարման և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ույքագրման կազմակերպման և անցկացման գործընթացի նկարագրությունը,  իրավական և կիրառական քայլերը և դրա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նց միտված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գործողությունները:</w:t>
      </w:r>
    </w:p>
    <w:p w:rsidR="00F11765" w:rsidRDefault="00F11765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Կարգի մշակման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գրման կարգը հաստատելու մասին» N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գրման կարգը հաստատելու մասին» N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787-Ն և 2016թ. հունվարի 8-ի «Հայաստանի Հանրապետության հանրային հատվածի կազմակերպությունների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>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:rsidR="00F11765" w:rsidRDefault="00F11765" w:rsidP="00726F88">
      <w:pPr>
        <w:pStyle w:val="a3"/>
        <w:spacing w:line="360" w:lineRule="auto"/>
        <w:ind w:left="0" w:firstLine="357"/>
        <w:rPr>
          <w:rFonts w:ascii="GHEA Grapalat" w:eastAsia="Times New Roman" w:hAnsi="GHEA Grapalat" w:cs="Times New Roman"/>
          <w:bCs/>
          <w:lang w:val="hy-AM" w:eastAsia="ru-RU"/>
        </w:rPr>
      </w:pPr>
      <w:r w:rsidRPr="00DA6693">
        <w:rPr>
          <w:rFonts w:ascii="GHEA Grapalat" w:eastAsia="Times New Roman" w:hAnsi="GHEA Grapalat" w:cs="Times New Roman"/>
          <w:bCs/>
          <w:lang w:val="hy-AM" w:eastAsia="ru-RU"/>
        </w:rPr>
        <w:t>Նախագիծը նպատակաուղղված է</w:t>
      </w:r>
      <w:r w:rsidR="00C87517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="00BC3EDD">
        <w:rPr>
          <w:rFonts w:ascii="GHEA Grapalat" w:eastAsia="Calibri" w:hAnsi="GHEA Grapalat"/>
          <w:lang w:val="hy-AM" w:bidi="en-US"/>
        </w:rPr>
        <w:t>Մարտունի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համայնքի սեփականություն հանդիսացող գույքի օգտագործման արդյունավետության բարձրացման և համայնքի </w:t>
      </w:r>
      <w:r>
        <w:rPr>
          <w:rFonts w:ascii="GHEA Grapalat" w:eastAsia="Times New Roman" w:hAnsi="GHEA Grapalat" w:cs="Times New Roman"/>
          <w:bCs/>
          <w:lang w:val="hy-AM" w:eastAsia="ru-RU"/>
        </w:rPr>
        <w:t>գույքային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պաշարների կառավարման՝ տիրապետման, օգտագործման և տնօրինման բնագավառում համայնքային միասնական քաղաքականության սահմանման, համայնքի սոցիալ-տնտեսա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կան զարգացման և համայնքի 2022 - 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>2026թթ. հնգամյա զարգացման ծրագրով սահմանված խնդիրների լուծմանը:</w:t>
      </w:r>
    </w:p>
    <w:p w:rsidR="00F11765" w:rsidRDefault="00C87517" w:rsidP="00726F88">
      <w:pPr>
        <w:pStyle w:val="a3"/>
        <w:spacing w:line="360" w:lineRule="auto"/>
        <w:ind w:left="0" w:firstLine="357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lang w:val="hy-AM" w:eastAsia="ru-RU"/>
        </w:rPr>
        <w:t>Համայնքի սեփականություն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հանդիսացող, ինչպես նաև համայնքի տեղական ինքնակառավարման մարմինների կառավարմանը հանձնված, կամ որ նույնն է՝ պատվիրակված, պետական սեփականություն հանդիսացող </w:t>
      </w:r>
      <w:r w:rsidR="00F11765">
        <w:rPr>
          <w:rFonts w:ascii="GHEA Grapalat" w:eastAsia="Times New Roman" w:hAnsi="GHEA Grapalat" w:cs="Times New Roman"/>
          <w:bCs/>
          <w:lang w:val="hy-AM" w:eastAsia="ru-RU"/>
        </w:rPr>
        <w:t>գույքի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կառավարումը համարվում է համայնքի կայուն զարգացման նախադրյալներից մեկը, որն ամրագրված է նաև համայնքի պարտադիր խնդիրները սահմանող «Տեղական ինքնակառավարման մասին» Հայաստանի Հանրապետության </w:t>
      </w:r>
      <w:r w:rsidR="00F11765">
        <w:rPr>
          <w:rFonts w:ascii="GHEA Grapalat" w:eastAsia="Times New Roman" w:hAnsi="GHEA Grapalat" w:cs="Times New Roman"/>
          <w:bCs/>
          <w:lang w:val="hy-AM" w:eastAsia="ru-RU"/>
        </w:rPr>
        <w:t>օրենքով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>:</w:t>
      </w:r>
    </w:p>
    <w:p w:rsidR="00F11765" w:rsidRPr="003528FD" w:rsidRDefault="00F11765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Կարգի հիմնական </w:t>
      </w:r>
      <w:r w:rsidRPr="003528FD">
        <w:rPr>
          <w:rFonts w:ascii="GHEA Grapalat" w:eastAsia="Calibri" w:hAnsi="GHEA Grapalat" w:cs="Sylfaen"/>
          <w:b/>
          <w:sz w:val="24"/>
          <w:szCs w:val="24"/>
          <w:lang w:val="hy-AM" w:bidi="en-US"/>
        </w:rPr>
        <w:t xml:space="preserve">նպատակներն </w:t>
      </w:r>
      <w:r w:rsidRPr="003528F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են՝ </w:t>
      </w:r>
    </w:p>
    <w:p w:rsidR="00F11765" w:rsidRPr="00373D3C" w:rsidRDefault="00373D3C" w:rsidP="00373D3C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1)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 </w:t>
      </w:r>
      <w:r w:rsidR="00F11765"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Նկարագրել համայնքի ՏԻՄ-երի կողմից գույքագրման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2)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Ներկայացնել համայնքի սեփականություն հանդիսացող գույքի (շարժական և անշարժ) ընդհանուր նկարագրությունը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3)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» N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» N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2-Ն հրամանով  հաստատված կարգերի պահանջներից բխող փաստաթղթերի՝ ակտերի, գույքագրման ցուցակների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lastRenderedPageBreak/>
        <w:t>և գույքագրման անցկացման համար անհրաժեշտ այլ փաստաթղթերի տեղայնացված օրինակելի ձևերը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4)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Համայնքային գույքի հաշվառման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,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պահպանման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,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տնօրինման ու օգտագործման համայնքային միասնական քաղաքականության հիմնադրույթների մշակում և դրանց իրականացումը</w:t>
      </w:r>
      <w:r w:rsidR="007A7F69">
        <w:rPr>
          <w:rFonts w:ascii="GHEA Grapalat" w:eastAsia="Calibri" w:hAnsi="GHEA Grapalat" w:cs="Sylfaen"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5)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Համայնքային գույքի կառավարման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գործընթացների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մեթոդական ապահովում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>ը</w:t>
      </w:r>
      <w:r w:rsidR="007A7F69">
        <w:rPr>
          <w:rFonts w:ascii="GHEA Grapalat" w:eastAsia="Calibri" w:hAnsi="GHEA Grapalat" w:cs="Times New Roman"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6)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7)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Նկարագրել 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անցկացման ընդհանուր կանոնները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E12CC9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8)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E12CC9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E12CC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9)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գույքի` կառավարման յուրաքանչյուր օբյեկտի (օբյեկտների խմբի) ծրագրային ժամանակահատվածի համար կառավարման նպատակի (նպ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ատակների) սահմանում և ամրագրում: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կառավարման արդյունավետության շարունակական ապահովում, որը պարտադիր է տեղական ինքնակառավարման մարմինների և</w:t>
      </w:r>
      <w:r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համայնքային 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կազմակերպությունների գ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ործունեության գնահատման ժամանակ: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կառավարման ոլորտում մասնակիցների շ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ահերի ներդաշնակության ապահովում:</w:t>
      </w:r>
    </w:p>
    <w:p w:rsidR="00F11765" w:rsidRPr="003528FD" w:rsidRDefault="00726F88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13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F11765"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 գույքի օգտագործման արդյու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նավետության բարձրացման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միտված ծրագրի մշակում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F11765" w:rsidRDefault="00726F88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F11765"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գույքի 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որակական հատկանիշների պա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հպանուման համար քայլերի մշանում:</w:t>
      </w:r>
    </w:p>
    <w:p w:rsidR="00E12CC9" w:rsidRDefault="00E12CC9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11765" w:rsidRPr="007A7F69" w:rsidRDefault="00F11765" w:rsidP="00E12CC9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A628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Կարգով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սահմանվում է</w:t>
      </w:r>
      <w:r w:rsidRPr="001A628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գույքի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կառա</w:t>
      </w:r>
      <w:r w:rsidR="00E12CC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վարման ամենամյա ծրագրի նախագիծը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դրույթները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գույքի հաշվեկ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շռի կառուցվածքի նկարագրությունը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գործողության շրջանակները</w:t>
      </w:r>
      <w:r w:rsidR="00011E8B" w:rsidRP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նպատակները</w:t>
      </w:r>
      <w:r w:rsidR="00011E8B" w:rsidRP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խնդիրները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օտա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րման օրենսդրական 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Գույքի օգտագործման տրամադրելու օրենսդրական 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կարգավորումները և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սեփականություն հանդիսացող գույքի ամենամյա պարտադիր գույքագր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իրականացնելու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կառավարման ուղղությունները և միջոցա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ռումները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միջոցառումների կատարման ապահովման և ծրագրի կատարման տարեկան հաշվետվության մշակ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 և ներկայացման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Ծրագրում փոփոխությունն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 և լրացումներ կատարելու կարգը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իրականացման ֆինանսավորման և հնարավոր կանխատեսվող եկամուտ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 հետ կապված կարգավորումները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սեփականություն հանդիսացող գույքի կառավարման գործընթացներում թափանցիկությունն ապահո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վելու հետ կապված գործիքակազմերը</w:t>
      </w:r>
    </w:p>
    <w:p w:rsidR="00F11765" w:rsidRP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կառավարման գործընթացներից բխող բոլոր փաստաթղթերի օրինակելի ձևերը և այլն:</w:t>
      </w:r>
    </w:p>
    <w:p w:rsidR="00F11765" w:rsidRDefault="00F11765" w:rsidP="00F11765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B82453" w:rsidRPr="003528FD" w:rsidRDefault="00B82453" w:rsidP="00B82453">
      <w:pPr>
        <w:spacing w:after="0" w:line="360" w:lineRule="auto"/>
        <w:ind w:firstLine="357"/>
        <w:contextualSpacing/>
        <w:jc w:val="both"/>
        <w:rPr>
          <w:rFonts w:ascii="GHEA Grapalat" w:eastAsia="Calibri" w:hAnsi="GHEA Grapalat" w:cs="Sylfaen"/>
          <w:sz w:val="24"/>
          <w:szCs w:val="24"/>
          <w:lang w:val="hy-AM" w:bidi="en-US"/>
        </w:rPr>
      </w:pPr>
    </w:p>
    <w:p w:rsidR="00B82453" w:rsidRPr="00B82453" w:rsidRDefault="00B82453" w:rsidP="00B82453">
      <w:pPr>
        <w:spacing w:after="0" w:line="360" w:lineRule="auto"/>
        <w:ind w:firstLine="357"/>
        <w:jc w:val="both"/>
        <w:rPr>
          <w:rFonts w:ascii="GHEA Grapalat" w:hAnsi="GHEA Grapalat"/>
          <w:sz w:val="24"/>
          <w:lang w:val="hy-AM"/>
        </w:rPr>
      </w:pPr>
    </w:p>
    <w:p w:rsidR="007A7F69" w:rsidRDefault="007A7F69" w:rsidP="007A7F69">
      <w:pPr>
        <w:pStyle w:val="a6"/>
        <w:jc w:val="center"/>
        <w:rPr>
          <w:rFonts w:ascii="GHEA Grapalat" w:hAnsi="GHEA Grapalat" w:cs="Sylfaen"/>
          <w:lang w:val="hy-AM"/>
        </w:rPr>
      </w:pPr>
      <w:r>
        <w:rPr>
          <w:rStyle w:val="a7"/>
          <w:rFonts w:ascii="GHEA Grapalat" w:eastAsia="Sylfaen" w:hAnsi="GHEA Grapalat"/>
          <w:lang w:val="hy-AM"/>
        </w:rPr>
        <w:t xml:space="preserve">ՀԱՄԱՅՆՔԻ ՂԵԿԱՎԱՐ </w:t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 w:rsidR="00BC3EDD">
        <w:rPr>
          <w:rStyle w:val="a7"/>
          <w:rFonts w:ascii="GHEA Grapalat" w:eastAsia="Sylfaen" w:hAnsi="GHEA Grapalat"/>
          <w:lang w:val="hy-AM"/>
        </w:rPr>
        <w:t>ՀՈՎՀԱՆՆԵՍ ՀՈՎԵՅԱՆ</w:t>
      </w:r>
    </w:p>
    <w:p w:rsidR="00AB711A" w:rsidRPr="00B82453" w:rsidRDefault="00AB711A">
      <w:pPr>
        <w:rPr>
          <w:lang w:val="hy-AM"/>
        </w:rPr>
      </w:pPr>
    </w:p>
    <w:sectPr w:rsidR="00AB711A" w:rsidRPr="00B82453" w:rsidSect="00B824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56"/>
    <w:multiLevelType w:val="hybridMultilevel"/>
    <w:tmpl w:val="D23E29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D67986"/>
    <w:multiLevelType w:val="hybridMultilevel"/>
    <w:tmpl w:val="106C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92C"/>
    <w:multiLevelType w:val="hybridMultilevel"/>
    <w:tmpl w:val="94B8D9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A2FC3"/>
    <w:multiLevelType w:val="hybridMultilevel"/>
    <w:tmpl w:val="69CE705C"/>
    <w:lvl w:ilvl="0" w:tplc="E7265F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3"/>
    <w:rsid w:val="00011E8B"/>
    <w:rsid w:val="00083305"/>
    <w:rsid w:val="00373D3C"/>
    <w:rsid w:val="00726F88"/>
    <w:rsid w:val="007A7F69"/>
    <w:rsid w:val="00AB711A"/>
    <w:rsid w:val="00B82453"/>
    <w:rsid w:val="00BC3EDD"/>
    <w:rsid w:val="00C87517"/>
    <w:rsid w:val="00E12CC9"/>
    <w:rsid w:val="00F11765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D6B0"/>
  <w15:chartTrackingRefBased/>
  <w15:docId w15:val="{F2F3F2B9-F3DF-4F2F-8249-CA29376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245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82453"/>
    <w:rPr>
      <w:rFonts w:ascii="Sylfaen" w:eastAsia="Sylfaen" w:hAnsi="Sylfaen" w:cs="Sylfae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1176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7F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HP</cp:lastModifiedBy>
  <cp:revision>3</cp:revision>
  <cp:lastPrinted>2022-11-14T08:50:00Z</cp:lastPrinted>
  <dcterms:created xsi:type="dcterms:W3CDTF">2022-11-14T06:17:00Z</dcterms:created>
  <dcterms:modified xsi:type="dcterms:W3CDTF">2023-02-10T12:20:00Z</dcterms:modified>
</cp:coreProperties>
</file>